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仿宋" w:hAnsi="仿宋" w:eastAsia="仿宋" w:cs="仿宋"/>
          <w:color w:val="000000"/>
          <w:sz w:val="32"/>
          <w:szCs w:val="32"/>
          <w:highlight w:val="none"/>
          <w:lang w:val="en-US" w:eastAsia="zh-CN"/>
        </w:rPr>
      </w:pPr>
    </w:p>
    <w:p>
      <w:pPr>
        <w:spacing w:line="60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武汉市道</w:t>
      </w:r>
      <w:r>
        <w:rPr>
          <w:rFonts w:hint="eastAsia" w:ascii="方正小标宋简体" w:hAnsi="方正小标宋简体" w:eastAsia="方正小标宋简体" w:cs="方正小标宋简体"/>
          <w:color w:val="000000"/>
          <w:sz w:val="44"/>
          <w:szCs w:val="44"/>
          <w:highlight w:val="none"/>
          <w:lang w:val="en-US" w:eastAsia="zh-CN"/>
        </w:rPr>
        <w:t>环境卫生作业</w:t>
      </w:r>
      <w:r>
        <w:rPr>
          <w:rFonts w:hint="eastAsia" w:ascii="方正小标宋简体" w:hAnsi="方正小标宋简体" w:eastAsia="方正小标宋简体" w:cs="方正小标宋简体"/>
          <w:color w:val="000000"/>
          <w:sz w:val="44"/>
          <w:szCs w:val="44"/>
          <w:highlight w:val="none"/>
        </w:rPr>
        <w:t>服务合同书</w:t>
      </w:r>
    </w:p>
    <w:p>
      <w:pPr>
        <w:pStyle w:val="2"/>
        <w:jc w:val="center"/>
        <w:rPr>
          <w:rFonts w:hint="eastAsia" w:eastAsia="方正小标宋简体"/>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w:t>
      </w:r>
      <w:r>
        <w:rPr>
          <w:rFonts w:hint="eastAsia" w:ascii="方正小标宋简体" w:hAnsi="方正小标宋简体" w:eastAsia="方正小标宋简体" w:cs="方正小标宋简体"/>
          <w:color w:val="000000"/>
          <w:sz w:val="44"/>
          <w:szCs w:val="44"/>
          <w:highlight w:val="none"/>
          <w:lang w:val="en-US" w:eastAsia="zh-CN"/>
        </w:rPr>
        <w:t>示范文本</w:t>
      </w:r>
      <w:r>
        <w:rPr>
          <w:rFonts w:hint="eastAsia" w:ascii="方正小标宋简体" w:hAnsi="方正小标宋简体" w:eastAsia="方正小标宋简体" w:cs="方正小标宋简体"/>
          <w:color w:val="000000"/>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委托方（甲方）：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住所地：</w:t>
      </w:r>
      <w:r>
        <w:rPr>
          <w:rFonts w:ascii="仿宋_GB2312" w:hAnsi="仿宋_GB2312" w:cs="仿宋_GB2312"/>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法定代表人：</w:t>
      </w:r>
      <w:r>
        <w:rPr>
          <w:rFonts w:ascii="仿宋_GB2312" w:hAnsi="仿宋_GB2312" w:cs="仿宋_GB2312"/>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项目联系人：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联</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系</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方</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通</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讯</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地</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电话：传真：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电子信箱：</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受托方（乙方）：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住所地：</w:t>
      </w:r>
      <w:r>
        <w:rPr>
          <w:rFonts w:ascii="仿宋_GB2312" w:hAnsi="仿宋_GB2312" w:cs="仿宋_GB2312"/>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法定代表人：</w:t>
      </w:r>
      <w:r>
        <w:rPr>
          <w:rFonts w:ascii="仿宋_GB2312" w:hAnsi="仿宋_GB2312" w:cs="仿宋_GB2312"/>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项目联系人：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联</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系</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方</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通</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讯</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地</w:t>
      </w:r>
      <w:r>
        <w:rPr>
          <w:rFonts w:ascii="仿宋_GB2312" w:hAnsi="仿宋_GB2312" w:cs="仿宋_GB2312"/>
          <w:color w:val="000000"/>
          <w:sz w:val="24"/>
          <w:szCs w:val="24"/>
          <w:highlight w:val="none"/>
        </w:rPr>
        <w:t xml:space="preserve"> </w:t>
      </w:r>
      <w:r>
        <w:rPr>
          <w:rFonts w:hint="eastAsia" w:ascii="仿宋_GB2312" w:hAnsi="仿宋_GB2312" w:cs="仿宋_GB2312"/>
          <w:color w:val="000000"/>
          <w:sz w:val="24"/>
          <w:szCs w:val="24"/>
          <w:highlight w:val="none"/>
        </w:rPr>
        <w:t>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电话：传真：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ascii="仿宋_GB2312" w:hAnsi="仿宋_GB2312" w:cs="仿宋_GB2312"/>
          <w:color w:val="000000"/>
          <w:sz w:val="24"/>
          <w:szCs w:val="24"/>
          <w:highlight w:val="none"/>
          <w:u w:val="single"/>
        </w:rPr>
      </w:pPr>
      <w:r>
        <w:rPr>
          <w:rFonts w:hint="eastAsia" w:ascii="仿宋_GB2312" w:hAnsi="仿宋_GB2312" w:cs="仿宋_GB2312"/>
          <w:color w:val="000000"/>
          <w:sz w:val="24"/>
          <w:szCs w:val="24"/>
          <w:highlight w:val="none"/>
        </w:rPr>
        <w:t>电子信箱：</w:t>
      </w:r>
    </w:p>
    <w:p>
      <w:pPr>
        <w:spacing w:line="500" w:lineRule="exact"/>
        <w:ind w:firstLine="560" w:firstLineChars="200"/>
        <w:jc w:val="left"/>
        <w:rPr>
          <w:rFonts w:ascii="仿宋" w:hAnsi="仿宋" w:eastAsia="仿宋" w:cs="仿宋"/>
          <w:color w:val="000000"/>
          <w:sz w:val="28"/>
          <w:szCs w:val="28"/>
          <w:highlight w:val="none"/>
          <w:u w:val="single"/>
        </w:rPr>
      </w:pPr>
    </w:p>
    <w:p>
      <w:pPr>
        <w:rPr>
          <w:rFonts w:ascii="仿宋" w:hAnsi="仿宋" w:eastAsia="仿宋" w:cs="仿宋"/>
          <w:color w:val="000000"/>
          <w:sz w:val="28"/>
          <w:szCs w:val="28"/>
          <w:highlight w:val="none"/>
          <w:u w:val="single"/>
        </w:rPr>
      </w:pPr>
      <w:r>
        <w:rPr>
          <w:rFonts w:ascii="仿宋" w:hAnsi="仿宋" w:eastAsia="仿宋" w:cs="仿宋"/>
          <w:color w:val="000000"/>
          <w:sz w:val="28"/>
          <w:szCs w:val="28"/>
          <w:highlight w:val="none"/>
          <w:u w:val="single"/>
        </w:rPr>
        <w:br w:type="page"/>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center"/>
        <w:textAlignment w:val="auto"/>
        <w:outlineLvl w:val="9"/>
        <w:rPr>
          <w:rFonts w:ascii="仿宋_GB2312" w:hAnsi="仿宋_GB2312" w:cs="仿宋_GB2312"/>
          <w:b/>
          <w:bCs/>
          <w:color w:val="000000"/>
          <w:sz w:val="32"/>
          <w:szCs w:val="32"/>
          <w:highlight w:val="none"/>
        </w:rPr>
      </w:pPr>
      <w:r>
        <w:rPr>
          <w:rFonts w:hint="eastAsia" w:ascii="仿宋_GB2312" w:hAnsi="仿宋_GB2312" w:cs="仿宋_GB2312"/>
          <w:b/>
          <w:bCs/>
          <w:color w:val="000000"/>
          <w:sz w:val="32"/>
          <w:szCs w:val="32"/>
          <w:highlight w:val="none"/>
        </w:rPr>
        <w:t>目</w:t>
      </w:r>
      <w:r>
        <w:rPr>
          <w:rFonts w:ascii="仿宋_GB2312" w:hAnsi="仿宋_GB2312" w:cs="仿宋_GB2312"/>
          <w:b/>
          <w:bCs/>
          <w:color w:val="000000"/>
          <w:sz w:val="32"/>
          <w:szCs w:val="32"/>
          <w:highlight w:val="none"/>
        </w:rPr>
        <w:t xml:space="preserve"> </w:t>
      </w:r>
      <w:r>
        <w:rPr>
          <w:rFonts w:hint="eastAsia" w:ascii="仿宋_GB2312" w:hAnsi="仿宋_GB2312" w:cs="仿宋_GB2312"/>
          <w:b/>
          <w:bCs/>
          <w:color w:val="000000"/>
          <w:sz w:val="32"/>
          <w:szCs w:val="32"/>
          <w:highlight w:val="none"/>
          <w:lang w:val="en-US" w:eastAsia="zh-CN"/>
        </w:rPr>
        <w:t xml:space="preserve">  </w:t>
      </w:r>
      <w:r>
        <w:rPr>
          <w:rFonts w:hint="eastAsia" w:ascii="仿宋_GB2312" w:hAnsi="仿宋_GB2312" w:cs="仿宋_GB2312"/>
          <w:b/>
          <w:bCs/>
          <w:color w:val="000000"/>
          <w:sz w:val="32"/>
          <w:szCs w:val="32"/>
          <w:highlight w:val="none"/>
        </w:rPr>
        <w:t>录</w:t>
      </w:r>
    </w:p>
    <w:p>
      <w:pPr>
        <w:pStyle w:val="21"/>
        <w:keepNext w:val="0"/>
        <w:keepLines w:val="0"/>
        <w:pageBreakBefore w:val="0"/>
        <w:widowControl w:val="0"/>
        <w:kinsoku/>
        <w:wordWrap/>
        <w:overflowPunct/>
        <w:topLinePunct w:val="0"/>
        <w:autoSpaceDE/>
        <w:autoSpaceDN/>
        <w:bidi w:val="0"/>
        <w:adjustRightInd/>
        <w:snapToGrid/>
        <w:spacing w:line="520" w:lineRule="exact"/>
        <w:textAlignment w:val="auto"/>
        <w:outlineLvl w:val="9"/>
        <w:rPr>
          <w:highlight w:val="none"/>
        </w:rPr>
      </w:pP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第一条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企业资质</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第二条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服务范围</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第三条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服务内容</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第四条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人员配置及福利待遇</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第五条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机械设备配置与管理</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第六条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合同期限</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第七条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双方权利与义务</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第八条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lang w:val="en-US" w:eastAsia="zh-CN"/>
        </w:rPr>
        <w:t>合同金额</w:t>
      </w:r>
      <w:r>
        <w:rPr>
          <w:rFonts w:hint="eastAsia" w:ascii="黑体" w:hAnsi="黑体" w:eastAsia="黑体" w:cs="黑体"/>
          <w:color w:val="000000"/>
          <w:sz w:val="28"/>
          <w:szCs w:val="28"/>
          <w:highlight w:val="none"/>
        </w:rPr>
        <w:t>与支付</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第九条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违约责任</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第十条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不可抗力</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第十一条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合同的解除</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第十二条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合同的生效、变更、解除、续签与终止</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第十三条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合同争议解决方式</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第十四条</w:t>
      </w:r>
      <w:r>
        <w:rPr>
          <w:rFonts w:ascii="黑体" w:hAnsi="黑体" w:eastAsia="黑体" w:cs="黑体"/>
          <w:color w:val="000000"/>
          <w:sz w:val="28"/>
          <w:szCs w:val="28"/>
          <w:highlight w:val="none"/>
        </w:rPr>
        <w:t xml:space="preserve"> </w:t>
      </w:r>
      <w:r>
        <w:rPr>
          <w:rFonts w:hint="eastAsia" w:ascii="黑体" w:hAnsi="黑体" w:eastAsia="黑体" w:cs="黑体"/>
          <w:color w:val="000000"/>
          <w:sz w:val="28"/>
          <w:szCs w:val="28"/>
          <w:highlight w:val="none"/>
        </w:rPr>
        <w:t>协议及相关文件</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第十五条 考评奖惩措施</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第十六条 其他事项</w:t>
      </w:r>
    </w:p>
    <w:p>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Chars="0" w:firstLine="560" w:firstLineChars="200"/>
        <w:textAlignment w:val="auto"/>
        <w:outlineLvl w:val="9"/>
        <w:rPr>
          <w:rFonts w:ascii="黑体" w:hAnsi="黑体" w:eastAsia="黑体" w:cs="黑体"/>
          <w:color w:val="000000"/>
          <w:sz w:val="28"/>
          <w:szCs w:val="28"/>
          <w:highlight w:val="none"/>
        </w:rPr>
      </w:pPr>
      <w:r>
        <w:rPr>
          <w:rFonts w:ascii="黑体" w:hAnsi="黑体" w:eastAsia="黑体" w:cs="黑体"/>
          <w:color w:val="000000"/>
          <w:sz w:val="28"/>
          <w:szCs w:val="28"/>
          <w:highlight w:val="none"/>
        </w:rPr>
        <w:t>附件</w:t>
      </w:r>
      <w:r>
        <w:rPr>
          <w:rFonts w:hint="eastAsia" w:ascii="黑体" w:hAnsi="黑体" w:eastAsia="黑体" w:cs="黑体"/>
          <w:color w:val="000000"/>
          <w:sz w:val="28"/>
          <w:szCs w:val="28"/>
          <w:highlight w:val="none"/>
          <w:lang w:eastAsia="zh-CN"/>
        </w:rPr>
        <w:t>：</w:t>
      </w:r>
      <w:r>
        <w:rPr>
          <w:rFonts w:ascii="黑体" w:hAnsi="黑体" w:eastAsia="黑体" w:cs="黑体"/>
          <w:color w:val="000000"/>
          <w:sz w:val="28"/>
          <w:szCs w:val="28"/>
          <w:highlight w:val="none"/>
        </w:rPr>
        <w:t>《</w:t>
      </w:r>
      <w:r>
        <w:rPr>
          <w:rFonts w:hint="eastAsia" w:ascii="黑体" w:hAnsi="黑体" w:eastAsia="黑体" w:cs="黑体"/>
          <w:color w:val="000000"/>
          <w:sz w:val="28"/>
          <w:szCs w:val="28"/>
          <w:highlight w:val="none"/>
          <w:lang w:val="en-US" w:eastAsia="zh-CN"/>
        </w:rPr>
        <w:t>武汉市环境卫生精细化管理工作导则</w:t>
      </w:r>
      <w:r>
        <w:rPr>
          <w:rFonts w:ascii="黑体" w:hAnsi="黑体" w:eastAsia="黑体" w:cs="黑体"/>
          <w:color w:val="000000"/>
          <w:sz w:val="28"/>
          <w:szCs w:val="28"/>
          <w:highlight w:val="none"/>
        </w:rPr>
        <w:t>》</w:t>
      </w:r>
      <w:r>
        <w:rPr>
          <w:rFonts w:hint="eastAsia" w:ascii="黑体" w:hAnsi="黑体" w:eastAsia="黑体" w:cs="黑体"/>
          <w:color w:val="000000"/>
          <w:sz w:val="28"/>
          <w:szCs w:val="28"/>
          <w:highlight w:val="none"/>
        </w:rPr>
        <w:t>；</w:t>
      </w:r>
    </w:p>
    <w:p>
      <w:pPr>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sz w:val="21"/>
          <w:szCs w:val="21"/>
          <w:highlight w:val="none"/>
        </w:rPr>
      </w:pPr>
      <w:r>
        <w:rPr>
          <w:rFonts w:ascii="仿宋" w:hAnsi="仿宋" w:eastAsia="仿宋" w:cs="仿宋"/>
          <w:color w:val="000000"/>
          <w:sz w:val="28"/>
          <w:szCs w:val="28"/>
          <w:highlight w:val="none"/>
          <w:u w:val="single"/>
        </w:rPr>
        <w:br w:type="page"/>
      </w:r>
      <w:r>
        <w:rPr>
          <w:rFonts w:hint="eastAsia" w:ascii="宋体" w:hAnsi="宋体" w:eastAsia="宋体" w:cs="宋体"/>
          <w:color w:val="000000"/>
          <w:sz w:val="21"/>
          <w:szCs w:val="21"/>
          <w:highlight w:val="none"/>
        </w:rPr>
        <w:t>根据《中华人民共和国民法典》、《城市市容和环境卫生管理条例》（国务院令第101号）及其他有关法律、法规的规定，甲乙双方经过平等协商，在真实、充分地表达各自意愿的基础上订立本合同，以资共同遵守。</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sz w:val="21"/>
          <w:szCs w:val="21"/>
          <w:highlight w:val="none"/>
        </w:rPr>
      </w:pPr>
      <w:bookmarkStart w:id="0" w:name="_Toc8595"/>
      <w:r>
        <w:rPr>
          <w:rFonts w:hint="eastAsia" w:ascii="宋体" w:hAnsi="宋体" w:eastAsia="宋体" w:cs="宋体"/>
          <w:b/>
          <w:bCs/>
          <w:sz w:val="21"/>
          <w:szCs w:val="21"/>
          <w:highlight w:val="none"/>
        </w:rPr>
        <w:t>一、企业资质</w:t>
      </w:r>
      <w:bookmarkEnd w:id="0"/>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cs="仿宋_GB2312"/>
          <w:color w:val="000000"/>
          <w:sz w:val="21"/>
          <w:szCs w:val="21"/>
          <w:highlight w:val="none"/>
        </w:rPr>
      </w:pPr>
      <w:r>
        <w:rPr>
          <w:rFonts w:hint="eastAsia" w:ascii="宋体" w:hAnsi="宋体" w:eastAsia="宋体" w:cs="宋体"/>
          <w:color w:val="000000"/>
          <w:sz w:val="21"/>
          <w:szCs w:val="21"/>
          <w:highlight w:val="none"/>
        </w:rPr>
        <w:t>从事城市生活垃圾经营性清扫、收集、运输的企业，应</w:t>
      </w:r>
      <w:r>
        <w:rPr>
          <w:rFonts w:hint="eastAsia" w:ascii="宋体" w:hAnsi="宋体" w:eastAsia="宋体" w:cs="宋体"/>
          <w:color w:val="000000"/>
          <w:sz w:val="21"/>
          <w:szCs w:val="21"/>
          <w:highlight w:val="none"/>
          <w:lang w:val="en-US" w:eastAsia="zh-CN"/>
        </w:rPr>
        <w:t>在武汉市取得任意区行政审批局颁发的《城市生活垃圾经营性清扫、收集、运输服务许可》</w:t>
      </w:r>
      <w:r>
        <w:rPr>
          <w:rFonts w:hint="eastAsia" w:ascii="宋体" w:hAnsi="宋体" w:eastAsia="宋体" w:cs="宋体"/>
          <w:b/>
          <w:bCs/>
          <w:color w:val="000000"/>
          <w:sz w:val="21"/>
          <w:szCs w:val="21"/>
          <w:highlight w:val="none"/>
          <w:lang w:val="en-US" w:eastAsia="zh-CN"/>
        </w:rPr>
        <w:t>（注：东湖高新区的环卫服务采购项目除外）</w:t>
      </w:r>
      <w:r>
        <w:rPr>
          <w:rFonts w:hint="eastAsia" w:ascii="宋体" w:hAnsi="宋体" w:eastAsia="宋体" w:cs="宋体"/>
          <w:color w:val="000000"/>
          <w:sz w:val="21"/>
          <w:szCs w:val="21"/>
          <w:highlight w:val="none"/>
          <w:lang w:val="en-US" w:eastAsia="zh-CN"/>
        </w:rPr>
        <w:t>，并符合</w:t>
      </w:r>
      <w:r>
        <w:rPr>
          <w:rFonts w:hint="eastAsia" w:ascii="宋体" w:hAnsi="宋体" w:eastAsia="宋体" w:cs="宋体"/>
          <w:color w:val="000000"/>
          <w:sz w:val="21"/>
          <w:szCs w:val="21"/>
          <w:highlight w:val="none"/>
        </w:rPr>
        <w:t>《城市生活垃圾管理办法》</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建设部令第157号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明确的相关法定条件。</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eastAsia="宋体" w:cs="宋体"/>
          <w:b/>
          <w:bCs/>
          <w:sz w:val="21"/>
          <w:szCs w:val="21"/>
          <w:highlight w:val="none"/>
        </w:rPr>
      </w:pPr>
      <w:bookmarkStart w:id="1" w:name="_Toc31047"/>
      <w:r>
        <w:rPr>
          <w:rFonts w:hint="eastAsia" w:eastAsia="宋体" w:cs="宋体"/>
          <w:b/>
          <w:bCs/>
          <w:sz w:val="21"/>
          <w:szCs w:val="21"/>
          <w:highlight w:val="none"/>
        </w:rPr>
        <w:t>二、服务范围</w:t>
      </w:r>
      <w:bookmarkEnd w:id="1"/>
    </w:p>
    <w:p>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cs="仿宋_GB2312"/>
          <w:color w:val="000000"/>
          <w:sz w:val="21"/>
          <w:szCs w:val="21"/>
          <w:highlight w:val="none"/>
        </w:rPr>
      </w:pPr>
      <w:r>
        <w:rPr>
          <w:rFonts w:hint="eastAsia" w:ascii="仿宋_GB2312" w:hAnsi="仿宋_GB2312" w:cs="仿宋_GB2312"/>
          <w:color w:val="000000"/>
          <w:sz w:val="21"/>
          <w:szCs w:val="21"/>
          <w:highlight w:val="none"/>
        </w:rPr>
        <w:t>本合同所约定服务范围见下表：</w:t>
      </w:r>
    </w:p>
    <w:tbl>
      <w:tblPr>
        <w:tblStyle w:val="13"/>
        <w:tblpPr w:leftFromText="180" w:rightFromText="180" w:vertAnchor="text" w:tblpXSpec="center" w:tblpY="1"/>
        <w:tblOverlap w:val="never"/>
        <w:tblW w:w="8597" w:type="dxa"/>
        <w:jc w:val="center"/>
        <w:tblLayout w:type="fixed"/>
        <w:tblCellMar>
          <w:top w:w="0" w:type="dxa"/>
          <w:left w:w="108" w:type="dxa"/>
          <w:bottom w:w="0" w:type="dxa"/>
          <w:right w:w="108" w:type="dxa"/>
        </w:tblCellMar>
      </w:tblPr>
      <w:tblGrid>
        <w:gridCol w:w="819"/>
        <w:gridCol w:w="2197"/>
        <w:gridCol w:w="2042"/>
        <w:gridCol w:w="1276"/>
        <w:gridCol w:w="1092"/>
        <w:gridCol w:w="1171"/>
      </w:tblGrid>
      <w:tr>
        <w:tblPrEx>
          <w:tblCellMar>
            <w:top w:w="0" w:type="dxa"/>
            <w:left w:w="108" w:type="dxa"/>
            <w:bottom w:w="0" w:type="dxa"/>
            <w:right w:w="108" w:type="dxa"/>
          </w:tblCellMar>
        </w:tblPrEx>
        <w:trPr>
          <w:trHeight w:val="573" w:hRule="atLeast"/>
          <w:jc w:val="center"/>
        </w:trPr>
        <w:tc>
          <w:tcPr>
            <w:tcW w:w="8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hint="eastAsia" w:ascii="仿宋_GB2312" w:hAnsi="仿宋_GB2312" w:cs="仿宋_GB2312"/>
                <w:color w:val="000000"/>
                <w:sz w:val="24"/>
                <w:szCs w:val="18"/>
                <w:highlight w:val="none"/>
              </w:rPr>
              <w:t>序号</w:t>
            </w:r>
          </w:p>
        </w:tc>
        <w:tc>
          <w:tcPr>
            <w:tcW w:w="21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hint="eastAsia" w:ascii="仿宋_GB2312" w:hAnsi="仿宋_GB2312" w:cs="仿宋_GB2312"/>
                <w:color w:val="000000"/>
                <w:sz w:val="24"/>
                <w:szCs w:val="18"/>
                <w:highlight w:val="none"/>
              </w:rPr>
              <w:t>道路（社区）名称</w:t>
            </w:r>
          </w:p>
        </w:tc>
        <w:tc>
          <w:tcPr>
            <w:tcW w:w="2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hint="eastAsia" w:ascii="仿宋_GB2312" w:hAnsi="仿宋_GB2312" w:cs="仿宋_GB2312"/>
                <w:color w:val="000000"/>
                <w:sz w:val="24"/>
                <w:szCs w:val="18"/>
                <w:highlight w:val="none"/>
              </w:rPr>
              <w:t>起止点</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hint="eastAsia" w:ascii="仿宋_GB2312" w:hAnsi="仿宋_GB2312" w:cs="仿宋_GB2312"/>
                <w:color w:val="000000"/>
                <w:sz w:val="24"/>
                <w:szCs w:val="18"/>
                <w:highlight w:val="none"/>
              </w:rPr>
              <w:t>长（</w:t>
            </w:r>
            <w:r>
              <w:rPr>
                <w:rFonts w:ascii="仿宋_GB2312" w:hAnsi="仿宋_GB2312" w:cs="仿宋_GB2312"/>
                <w:color w:val="000000"/>
                <w:sz w:val="24"/>
                <w:szCs w:val="18"/>
                <w:highlight w:val="none"/>
              </w:rPr>
              <w:t>M）</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hint="eastAsia" w:ascii="仿宋_GB2312" w:hAnsi="仿宋_GB2312" w:cs="仿宋_GB2312"/>
                <w:color w:val="000000"/>
                <w:sz w:val="24"/>
                <w:szCs w:val="18"/>
                <w:highlight w:val="none"/>
              </w:rPr>
              <w:t>宽（</w:t>
            </w:r>
            <w:r>
              <w:rPr>
                <w:rFonts w:ascii="仿宋_GB2312" w:hAnsi="仿宋_GB2312" w:cs="仿宋_GB2312"/>
                <w:color w:val="000000"/>
                <w:sz w:val="24"/>
                <w:szCs w:val="18"/>
                <w:highlight w:val="none"/>
              </w:rPr>
              <w:t>M）</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hint="eastAsia" w:ascii="仿宋_GB2312" w:hAnsi="仿宋_GB2312" w:cs="仿宋_GB2312"/>
                <w:color w:val="000000"/>
                <w:sz w:val="24"/>
                <w:szCs w:val="18"/>
                <w:highlight w:val="none"/>
              </w:rPr>
              <w:t>面积（㎡）</w:t>
            </w:r>
          </w:p>
        </w:tc>
      </w:tr>
      <w:tr>
        <w:tblPrEx>
          <w:tblCellMar>
            <w:top w:w="0" w:type="dxa"/>
            <w:left w:w="108" w:type="dxa"/>
            <w:bottom w:w="0" w:type="dxa"/>
            <w:right w:w="108" w:type="dxa"/>
          </w:tblCellMar>
        </w:tblPrEx>
        <w:trPr>
          <w:trHeight w:val="360" w:hRule="atLeast"/>
          <w:jc w:val="center"/>
        </w:trPr>
        <w:tc>
          <w:tcPr>
            <w:tcW w:w="81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2197"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204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r>
      <w:tr>
        <w:tblPrEx>
          <w:tblCellMar>
            <w:top w:w="0" w:type="dxa"/>
            <w:left w:w="108" w:type="dxa"/>
            <w:bottom w:w="0" w:type="dxa"/>
            <w:right w:w="108" w:type="dxa"/>
          </w:tblCellMar>
        </w:tblPrEx>
        <w:trPr>
          <w:trHeight w:val="392" w:hRule="atLeast"/>
          <w:jc w:val="center"/>
        </w:trPr>
        <w:tc>
          <w:tcPr>
            <w:tcW w:w="81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ascii="仿宋_GB2312" w:hAnsi="仿宋_GB2312" w:cs="仿宋_GB2312"/>
                <w:color w:val="000000"/>
                <w:sz w:val="24"/>
                <w:szCs w:val="18"/>
                <w:highlight w:val="none"/>
              </w:rPr>
              <w:t>1</w:t>
            </w:r>
          </w:p>
        </w:tc>
        <w:tc>
          <w:tcPr>
            <w:tcW w:w="2197"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204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276"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09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171"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r>
      <w:tr>
        <w:tblPrEx>
          <w:tblCellMar>
            <w:top w:w="0" w:type="dxa"/>
            <w:left w:w="108" w:type="dxa"/>
            <w:bottom w:w="0" w:type="dxa"/>
            <w:right w:w="108" w:type="dxa"/>
          </w:tblCellMar>
        </w:tblPrEx>
        <w:trPr>
          <w:trHeight w:val="449" w:hRule="atLeast"/>
          <w:jc w:val="center"/>
        </w:trPr>
        <w:tc>
          <w:tcPr>
            <w:tcW w:w="81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ascii="仿宋_GB2312" w:hAnsi="仿宋_GB2312" w:cs="仿宋_GB2312"/>
                <w:color w:val="000000"/>
                <w:sz w:val="24"/>
                <w:szCs w:val="18"/>
                <w:highlight w:val="none"/>
              </w:rPr>
              <w:t>2</w:t>
            </w:r>
          </w:p>
        </w:tc>
        <w:tc>
          <w:tcPr>
            <w:tcW w:w="2197"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204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276"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09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171"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r>
      <w:tr>
        <w:tblPrEx>
          <w:tblCellMar>
            <w:top w:w="0" w:type="dxa"/>
            <w:left w:w="108" w:type="dxa"/>
            <w:bottom w:w="0" w:type="dxa"/>
            <w:right w:w="108" w:type="dxa"/>
          </w:tblCellMar>
        </w:tblPrEx>
        <w:trPr>
          <w:trHeight w:val="449" w:hRule="atLeast"/>
          <w:jc w:val="center"/>
        </w:trPr>
        <w:tc>
          <w:tcPr>
            <w:tcW w:w="81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ascii="仿宋_GB2312" w:hAnsi="仿宋_GB2312" w:cs="仿宋_GB2312"/>
                <w:color w:val="000000"/>
                <w:sz w:val="24"/>
                <w:szCs w:val="18"/>
                <w:highlight w:val="none"/>
              </w:rPr>
              <w:t>3</w:t>
            </w:r>
          </w:p>
        </w:tc>
        <w:tc>
          <w:tcPr>
            <w:tcW w:w="2197" w:type="dxa"/>
            <w:tcBorders>
              <w:top w:val="nil"/>
              <w:left w:val="single" w:color="auto" w:sz="4" w:space="0"/>
              <w:bottom w:val="single" w:color="000000"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204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276"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09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171"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r>
      <w:tr>
        <w:tblPrEx>
          <w:tblCellMar>
            <w:top w:w="0" w:type="dxa"/>
            <w:left w:w="108" w:type="dxa"/>
            <w:bottom w:w="0" w:type="dxa"/>
            <w:right w:w="108" w:type="dxa"/>
          </w:tblCellMar>
        </w:tblPrEx>
        <w:trPr>
          <w:trHeight w:val="449" w:hRule="atLeast"/>
          <w:jc w:val="center"/>
        </w:trPr>
        <w:tc>
          <w:tcPr>
            <w:tcW w:w="819"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color w:val="000000"/>
                <w:sz w:val="24"/>
                <w:szCs w:val="18"/>
                <w:highlight w:val="none"/>
              </w:rPr>
            </w:pPr>
            <w:r>
              <w:rPr>
                <w:rFonts w:ascii="仿宋_GB2312" w:hAnsi="仿宋_GB2312" w:cs="仿宋_GB2312"/>
                <w:color w:val="000000"/>
                <w:sz w:val="24"/>
                <w:szCs w:val="18"/>
                <w:highlight w:val="none"/>
              </w:rPr>
              <w:t>...</w:t>
            </w:r>
          </w:p>
        </w:tc>
        <w:tc>
          <w:tcPr>
            <w:tcW w:w="2197" w:type="dxa"/>
            <w:tcBorders>
              <w:top w:val="nil"/>
              <w:left w:val="single" w:color="auto" w:sz="4" w:space="0"/>
              <w:bottom w:val="single" w:color="000000"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204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276"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092"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c>
          <w:tcPr>
            <w:tcW w:w="1171"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r>
      <w:tr>
        <w:tblPrEx>
          <w:tblCellMar>
            <w:top w:w="0" w:type="dxa"/>
            <w:left w:w="108" w:type="dxa"/>
            <w:bottom w:w="0" w:type="dxa"/>
            <w:right w:w="108" w:type="dxa"/>
          </w:tblCellMar>
        </w:tblPrEx>
        <w:trPr>
          <w:trHeight w:val="497" w:hRule="atLeast"/>
          <w:jc w:val="center"/>
        </w:trPr>
        <w:tc>
          <w:tcPr>
            <w:tcW w:w="7426"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cs="仿宋_GB2312"/>
                <w:bCs/>
                <w:color w:val="000000"/>
                <w:sz w:val="24"/>
                <w:szCs w:val="18"/>
                <w:highlight w:val="none"/>
              </w:rPr>
            </w:pPr>
            <w:r>
              <w:rPr>
                <w:rFonts w:hint="eastAsia" w:ascii="仿宋_GB2312" w:hAnsi="仿宋_GB2312" w:cs="仿宋_GB2312"/>
                <w:bCs/>
                <w:color w:val="000000"/>
                <w:sz w:val="24"/>
                <w:szCs w:val="18"/>
                <w:highlight w:val="none"/>
              </w:rPr>
              <w:t>合计</w:t>
            </w:r>
          </w:p>
        </w:tc>
        <w:tc>
          <w:tcPr>
            <w:tcW w:w="1171" w:type="dxa"/>
            <w:tcBorders>
              <w:top w:val="nil"/>
              <w:left w:val="nil"/>
              <w:bottom w:val="single" w:color="auto" w:sz="4" w:space="0"/>
              <w:right w:val="single" w:color="auto" w:sz="4" w:space="0"/>
            </w:tcBorders>
            <w:vAlign w:val="center"/>
          </w:tcPr>
          <w:p>
            <w:pPr>
              <w:widowControl/>
              <w:spacing w:before="100" w:beforeAutospacing="1" w:after="100" w:afterAutospacing="1" w:line="360" w:lineRule="exact"/>
              <w:jc w:val="center"/>
              <w:outlineLvl w:val="0"/>
              <w:rPr>
                <w:rFonts w:ascii="仿宋_GB2312" w:hAnsi="仿宋_GB2312" w:cs="仿宋_GB2312"/>
                <w:b w:val="0"/>
                <w:bCs w:val="0"/>
                <w:color w:val="000000"/>
                <w:sz w:val="24"/>
                <w:szCs w:val="18"/>
                <w:highlight w:val="none"/>
              </w:rPr>
            </w:pPr>
          </w:p>
        </w:tc>
      </w:tr>
    </w:tbl>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color w:val="auto"/>
          <w:sz w:val="21"/>
          <w:szCs w:val="21"/>
          <w:highlight w:val="none"/>
        </w:rPr>
      </w:pPr>
      <w:bookmarkStart w:id="2" w:name="_Toc15057"/>
      <w:r>
        <w:rPr>
          <w:rFonts w:hint="eastAsia" w:ascii="宋体" w:hAnsi="宋体" w:eastAsia="宋体" w:cs="宋体"/>
          <w:b/>
          <w:bCs/>
          <w:color w:val="auto"/>
          <w:sz w:val="21"/>
          <w:szCs w:val="21"/>
          <w:highlight w:val="none"/>
        </w:rPr>
        <w:t>三、服务内容</w:t>
      </w:r>
      <w:bookmarkEnd w:id="2"/>
    </w:p>
    <w:p>
      <w:pPr>
        <w:pageBreakBefore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（一）作业内容</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对服务区域内的所有城市道路实施环卫作业：具体包括以下区域：</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1．城市道路路面全方位清扫、清洗（道路两侧从墙根至墙根范围内公共区域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有明确业主单位的区域除外），包括机动车道、非机动车道、人行道、高架桥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车行隧道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匝道、人行天桥和地下通道；</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2．道路附属设施清洗保洁，包括交通护栏、波纹板、隔音屏、隔离墩等；</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3．道路沿线城市家具清洗保洁和违法三乱清除，包括路名牌、公交站亭等各类牌、亭，雕塑、长椅、障碍球等公共设施，高架桥和车行隧道、人行天桥和地下通道的桥身、桥体、顶篷、内壁等部位；</w:t>
      </w:r>
    </w:p>
    <w:p>
      <w:pPr>
        <w:pStyle w:val="2"/>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4.道路沿线公共区域</w:t>
      </w:r>
      <w:r>
        <w:rPr>
          <w:rFonts w:hint="eastAsia" w:ascii="宋体" w:hAnsi="宋体" w:eastAsia="宋体" w:cs="宋体"/>
          <w:color w:val="auto"/>
          <w:sz w:val="21"/>
          <w:szCs w:val="21"/>
          <w:highlight w:val="none"/>
          <w:lang w:val="en-US" w:eastAsia="zh-CN"/>
        </w:rPr>
        <w:t>废物箱、垃圾桶的</w:t>
      </w:r>
      <w:r>
        <w:rPr>
          <w:rFonts w:hint="eastAsia" w:ascii="宋体" w:hAnsi="宋体" w:eastAsia="宋体" w:cs="宋体"/>
          <w:color w:val="auto"/>
          <w:sz w:val="21"/>
          <w:szCs w:val="21"/>
          <w:highlight w:val="none"/>
        </w:rPr>
        <w:t>清洗消杀和更新维护。</w:t>
      </w:r>
    </w:p>
    <w:p>
      <w:pPr>
        <w:pStyle w:val="2"/>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5.道路沿线花坛、绿化带、</w:t>
      </w:r>
      <w:r>
        <w:rPr>
          <w:rFonts w:hint="eastAsia" w:ascii="宋体" w:hAnsi="宋体" w:eastAsia="宋体" w:cs="宋体"/>
          <w:color w:val="auto"/>
          <w:sz w:val="21"/>
          <w:szCs w:val="21"/>
          <w:highlight w:val="none"/>
          <w:lang w:val="en-US" w:eastAsia="zh-CN"/>
        </w:rPr>
        <w:t>行道树树穴</w:t>
      </w:r>
      <w:r>
        <w:rPr>
          <w:rFonts w:hint="eastAsia" w:ascii="宋体" w:hAnsi="宋体" w:eastAsia="宋体" w:cs="宋体"/>
          <w:color w:val="auto"/>
          <w:sz w:val="21"/>
          <w:szCs w:val="21"/>
          <w:highlight w:val="none"/>
        </w:rPr>
        <w:t>等绿化区域垃圾清扫、捡拾。</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6．（服务区域含社区的须写此条）社区内所有开放式的公共道路、房前屋后公共场所（封闭式居民小区、单位院落等有明确业主单位的区域除外）清扫保洁；</w:t>
      </w:r>
    </w:p>
    <w:p>
      <w:pPr>
        <w:pStyle w:val="2"/>
        <w:pageBreakBefore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7.服务区域内城市道路</w:t>
      </w:r>
      <w:r>
        <w:rPr>
          <w:rFonts w:hint="eastAsia" w:ascii="宋体" w:hAnsi="宋体" w:eastAsia="宋体" w:cs="宋体"/>
          <w:color w:val="auto"/>
          <w:sz w:val="21"/>
          <w:szCs w:val="21"/>
          <w:highlight w:val="none"/>
          <w:lang w:val="en-US" w:eastAsia="zh-CN"/>
        </w:rPr>
        <w:t>沿线公共区域</w:t>
      </w:r>
      <w:r>
        <w:rPr>
          <w:rFonts w:hint="eastAsia" w:ascii="宋体" w:hAnsi="宋体" w:eastAsia="宋体" w:cs="宋体"/>
          <w:color w:val="auto"/>
          <w:sz w:val="21"/>
          <w:szCs w:val="21"/>
          <w:highlight w:val="none"/>
        </w:rPr>
        <w:t>垃圾容器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w:t>
      </w:r>
      <w:r>
        <w:rPr>
          <w:rFonts w:hint="eastAsia" w:ascii="宋体" w:hAnsi="宋体" w:eastAsia="宋体" w:cs="宋体"/>
          <w:color w:val="auto"/>
          <w:sz w:val="21"/>
          <w:szCs w:val="21"/>
          <w:highlight w:val="none"/>
        </w:rPr>
        <w:t>小区、门店、单位、商业体等各类业态产生</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生活垃圾的收集转运。</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8．其他未能详尽的作业范围，由甲乙双方协商确定。</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具体服务内容以下方勾选项和补充内容为准。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注：勾选内容应与招标需求一致，</w:t>
      </w:r>
      <w:r>
        <w:rPr>
          <w:rFonts w:hint="eastAsia" w:ascii="宋体" w:hAnsi="宋体" w:eastAsia="宋体" w:cs="宋体"/>
          <w:b/>
          <w:bCs/>
          <w:color w:val="auto"/>
          <w:sz w:val="21"/>
          <w:szCs w:val="21"/>
          <w:highlight w:val="none"/>
        </w:rPr>
        <w:t>根据勾选内容对上文文字进行调整）</w:t>
      </w:r>
    </w:p>
    <w:p>
      <w:pPr>
        <w:pStyle w:val="11"/>
        <w:spacing w:beforeAutospacing="0" w:afterAutospacing="0" w:line="300" w:lineRule="exact"/>
        <w:ind w:firstLine="420" w:firstLineChars="200"/>
        <w:rPr>
          <w:rFonts w:hint="eastAsia" w:eastAsia="宋体"/>
          <w:color w:val="auto"/>
          <w:sz w:val="21"/>
          <w:szCs w:val="21"/>
          <w:highlight w:val="none"/>
          <w:lang w:val="en-US" w:eastAsia="zh-CN"/>
        </w:rPr>
      </w:pPr>
      <w:r>
        <w:rPr>
          <w:rFonts w:hint="eastAsia"/>
          <w:color w:val="auto"/>
          <w:sz w:val="21"/>
          <w:szCs w:val="21"/>
          <w:highlight w:val="none"/>
        </w:rPr>
        <w:sym w:font="Wingdings 2" w:char="00A3"/>
      </w:r>
      <w:r>
        <w:rPr>
          <w:rFonts w:hint="eastAsia"/>
          <w:color w:val="auto"/>
          <w:sz w:val="21"/>
          <w:szCs w:val="21"/>
          <w:highlight w:val="none"/>
        </w:rPr>
        <w:t>清扫</w:t>
      </w:r>
      <w:r>
        <w:rPr>
          <w:rFonts w:hint="eastAsia"/>
          <w:color w:val="auto"/>
          <w:sz w:val="21"/>
          <w:szCs w:val="21"/>
          <w:highlight w:val="none"/>
          <w:lang w:val="en-US" w:eastAsia="zh-CN"/>
        </w:rPr>
        <w:t>保洁（含清洗）、</w:t>
      </w:r>
      <w:r>
        <w:rPr>
          <w:rFonts w:hint="eastAsia"/>
          <w:color w:val="auto"/>
          <w:sz w:val="21"/>
          <w:szCs w:val="21"/>
          <w:highlight w:val="none"/>
        </w:rPr>
        <w:t>生活垃圾收运</w:t>
      </w:r>
    </w:p>
    <w:p>
      <w:pPr>
        <w:pStyle w:val="11"/>
        <w:spacing w:beforeAutospacing="0" w:afterAutospacing="0" w:line="300" w:lineRule="exact"/>
        <w:ind w:firstLine="420" w:firstLineChars="200"/>
        <w:rPr>
          <w:rFonts w:hint="eastAsia" w:eastAsia="宋体"/>
          <w:color w:val="auto"/>
          <w:sz w:val="21"/>
          <w:szCs w:val="21"/>
          <w:highlight w:val="none"/>
          <w:lang w:val="en-US" w:eastAsia="zh-CN"/>
        </w:rPr>
      </w:pPr>
      <w:r>
        <w:rPr>
          <w:rFonts w:hint="eastAsia"/>
          <w:color w:val="auto"/>
          <w:sz w:val="21"/>
          <w:szCs w:val="21"/>
          <w:highlight w:val="none"/>
        </w:rPr>
        <w:sym w:font="Wingdings 2" w:char="00A3"/>
      </w:r>
      <w:r>
        <w:rPr>
          <w:rFonts w:hint="eastAsia"/>
          <w:color w:val="auto"/>
          <w:sz w:val="21"/>
          <w:szCs w:val="21"/>
          <w:highlight w:val="none"/>
        </w:rPr>
        <w:t>违法三乱清除</w:t>
      </w:r>
    </w:p>
    <w:p>
      <w:pPr>
        <w:pStyle w:val="11"/>
        <w:spacing w:beforeAutospacing="0" w:afterAutospacing="0" w:line="300" w:lineRule="exact"/>
        <w:ind w:firstLine="420" w:firstLineChars="200"/>
        <w:rPr>
          <w:rFonts w:hint="eastAsia"/>
          <w:color w:val="auto"/>
          <w:sz w:val="21"/>
          <w:szCs w:val="21"/>
          <w:highlight w:val="none"/>
          <w:lang w:val="en-US" w:eastAsia="zh-CN"/>
        </w:rPr>
      </w:pPr>
      <w:r>
        <w:rPr>
          <w:rFonts w:hint="eastAsia"/>
          <w:color w:val="auto"/>
          <w:sz w:val="21"/>
          <w:szCs w:val="21"/>
          <w:highlight w:val="none"/>
        </w:rPr>
        <w:sym w:font="Wingdings 2" w:char="00A3"/>
      </w:r>
      <w:r>
        <w:rPr>
          <w:rFonts w:hint="eastAsia"/>
          <w:color w:val="auto"/>
          <w:sz w:val="21"/>
          <w:szCs w:val="21"/>
          <w:highlight w:val="none"/>
          <w:lang w:val="en-US" w:eastAsia="zh-CN"/>
        </w:rPr>
        <w:t>公共厕所运维</w:t>
      </w:r>
    </w:p>
    <w:p>
      <w:pPr>
        <w:pStyle w:val="11"/>
        <w:spacing w:beforeAutospacing="0" w:afterAutospacing="0" w:line="300" w:lineRule="exact"/>
        <w:ind w:firstLine="420" w:firstLineChars="200"/>
        <w:rPr>
          <w:rFonts w:hint="eastAsia"/>
          <w:color w:val="auto"/>
          <w:sz w:val="21"/>
          <w:szCs w:val="21"/>
          <w:highlight w:val="none"/>
          <w:lang w:val="en-US" w:eastAsia="zh-CN"/>
        </w:rPr>
      </w:pPr>
      <w:r>
        <w:rPr>
          <w:rFonts w:hint="eastAsia"/>
          <w:color w:val="auto"/>
          <w:sz w:val="21"/>
          <w:szCs w:val="21"/>
          <w:highlight w:val="none"/>
        </w:rPr>
        <w:sym w:font="Wingdings 2" w:char="00A3"/>
      </w:r>
      <w:r>
        <w:rPr>
          <w:rFonts w:hint="eastAsia"/>
          <w:color w:val="auto"/>
          <w:sz w:val="21"/>
          <w:szCs w:val="21"/>
          <w:highlight w:val="none"/>
          <w:lang w:val="en-US" w:eastAsia="zh-CN"/>
        </w:rPr>
        <w:t>垃圾转运站运维</w:t>
      </w:r>
    </w:p>
    <w:p>
      <w:pPr>
        <w:pStyle w:val="11"/>
        <w:spacing w:beforeAutospacing="0" w:afterAutospacing="0" w:line="300" w:lineRule="exact"/>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rPr>
        <w:sym w:font="Wingdings 2" w:char="00A3"/>
      </w:r>
      <w:r>
        <w:rPr>
          <w:rFonts w:hint="eastAsia" w:ascii="宋体" w:hAnsi="宋体" w:cs="宋体"/>
          <w:color w:val="auto"/>
          <w:sz w:val="21"/>
          <w:szCs w:val="21"/>
          <w:highlight w:val="none"/>
        </w:rPr>
        <w:t>其他（如有，请补充）：</w:t>
      </w:r>
      <w:r>
        <w:rPr>
          <w:rFonts w:hint="eastAsia" w:ascii="宋体" w:hAnsi="宋体" w:cs="宋体"/>
          <w:color w:val="auto"/>
          <w:sz w:val="21"/>
          <w:szCs w:val="21"/>
          <w:highlight w:val="none"/>
          <w:u w:val="single"/>
        </w:rPr>
        <w:t xml:space="preserve">     </w:t>
      </w:r>
    </w:p>
    <w:p>
      <w:pPr>
        <w:pageBreakBefore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（二）作业规范和要求</w:t>
      </w:r>
    </w:p>
    <w:p>
      <w:pPr>
        <w:pStyle w:val="19"/>
        <w:pageBreakBefore w:val="0"/>
        <w:tabs>
          <w:tab w:val="left" w:pos="999"/>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乙方应该参照《武汉市环境卫生精细化管理工作导则》清扫保洁、垃圾收运等章节相关要求进行环卫作业，并达到质量要求，详见附件1。</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color w:val="auto"/>
          <w:sz w:val="21"/>
          <w:szCs w:val="21"/>
          <w:highlight w:val="none"/>
        </w:rPr>
      </w:pPr>
      <w:bookmarkStart w:id="3" w:name="_Toc32755"/>
      <w:r>
        <w:rPr>
          <w:rFonts w:hint="eastAsia" w:ascii="宋体" w:hAnsi="宋体" w:eastAsia="宋体" w:cs="宋体"/>
          <w:b/>
          <w:bCs/>
          <w:color w:val="auto"/>
          <w:sz w:val="21"/>
          <w:szCs w:val="21"/>
          <w:highlight w:val="none"/>
        </w:rPr>
        <w:t>四、人员配置及福利待遇</w:t>
      </w:r>
      <w:bookmarkEnd w:id="3"/>
    </w:p>
    <w:p>
      <w:pPr>
        <w:pageBreakBefore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（一）人员配置</w:t>
      </w:r>
    </w:p>
    <w:p>
      <w:pPr>
        <w:pStyle w:val="19"/>
        <w:pageBreakBefore w:val="0"/>
        <w:tabs>
          <w:tab w:val="left" w:pos="999"/>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1．按照甲方招标文件要求，本项目需配备的各类作业人员数量如下：</w:t>
      </w:r>
    </w:p>
    <w:tbl>
      <w:tblPr>
        <w:tblStyle w:val="14"/>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59"/>
        <w:gridCol w:w="1983"/>
        <w:gridCol w:w="226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pStyle w:val="19"/>
              <w:tabs>
                <w:tab w:val="left" w:pos="999"/>
              </w:tabs>
              <w:spacing w:line="440" w:lineRule="exact"/>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59" w:type="dxa"/>
            <w:vAlign w:val="center"/>
          </w:tcPr>
          <w:p>
            <w:pPr>
              <w:pStyle w:val="19"/>
              <w:tabs>
                <w:tab w:val="left" w:pos="999"/>
              </w:tabs>
              <w:spacing w:line="440" w:lineRule="exact"/>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岗位</w:t>
            </w:r>
          </w:p>
        </w:tc>
        <w:tc>
          <w:tcPr>
            <w:tcW w:w="1983" w:type="dxa"/>
            <w:vAlign w:val="center"/>
          </w:tcPr>
          <w:p>
            <w:pPr>
              <w:pStyle w:val="19"/>
              <w:tabs>
                <w:tab w:val="left" w:pos="999"/>
              </w:tabs>
              <w:spacing w:line="440" w:lineRule="exact"/>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数量（人）</w:t>
            </w:r>
          </w:p>
        </w:tc>
        <w:tc>
          <w:tcPr>
            <w:tcW w:w="2268" w:type="dxa"/>
            <w:vAlign w:val="center"/>
          </w:tcPr>
          <w:p>
            <w:pPr>
              <w:pStyle w:val="19"/>
              <w:tabs>
                <w:tab w:val="left" w:pos="999"/>
              </w:tabs>
              <w:spacing w:line="440" w:lineRule="exact"/>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年龄、经验情况</w:t>
            </w:r>
          </w:p>
        </w:tc>
        <w:tc>
          <w:tcPr>
            <w:tcW w:w="1848" w:type="dxa"/>
            <w:vAlign w:val="center"/>
          </w:tcPr>
          <w:p>
            <w:pPr>
              <w:pStyle w:val="19"/>
              <w:tabs>
                <w:tab w:val="left" w:pos="999"/>
              </w:tabs>
              <w:spacing w:line="440" w:lineRule="exact"/>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1</w:t>
            </w:r>
          </w:p>
        </w:tc>
        <w:tc>
          <w:tcPr>
            <w:tcW w:w="155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负责人</w:t>
            </w:r>
          </w:p>
        </w:tc>
        <w:tc>
          <w:tcPr>
            <w:tcW w:w="1983"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2268" w:type="dxa"/>
            <w:vAlign w:val="center"/>
          </w:tcPr>
          <w:p>
            <w:pPr>
              <w:pStyle w:val="19"/>
              <w:tabs>
                <w:tab w:val="left" w:pos="999"/>
              </w:tabs>
              <w:spacing w:line="440" w:lineRule="exact"/>
              <w:ind w:firstLine="0" w:firstLineChars="0"/>
              <w:rPr>
                <w:rFonts w:hint="eastAsia" w:ascii="宋体" w:hAnsi="宋体" w:eastAsia="宋体" w:cs="宋体"/>
                <w:color w:val="000000"/>
                <w:kern w:val="0"/>
                <w:sz w:val="21"/>
                <w:szCs w:val="21"/>
                <w:highlight w:val="none"/>
              </w:rPr>
            </w:pPr>
          </w:p>
        </w:tc>
        <w:tc>
          <w:tcPr>
            <w:tcW w:w="184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2</w:t>
            </w:r>
          </w:p>
        </w:tc>
        <w:tc>
          <w:tcPr>
            <w:tcW w:w="155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管理人员</w:t>
            </w:r>
          </w:p>
        </w:tc>
        <w:tc>
          <w:tcPr>
            <w:tcW w:w="1983"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2268" w:type="dxa"/>
            <w:vAlign w:val="center"/>
          </w:tcPr>
          <w:p>
            <w:pPr>
              <w:spacing w:line="440" w:lineRule="exact"/>
              <w:rPr>
                <w:rFonts w:hint="eastAsia" w:ascii="宋体" w:hAnsi="宋体" w:eastAsia="宋体" w:cs="宋体"/>
                <w:color w:val="000000"/>
                <w:kern w:val="0"/>
                <w:sz w:val="21"/>
                <w:szCs w:val="21"/>
                <w:highlight w:val="none"/>
              </w:rPr>
            </w:pPr>
          </w:p>
        </w:tc>
        <w:tc>
          <w:tcPr>
            <w:tcW w:w="184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3</w:t>
            </w:r>
          </w:p>
        </w:tc>
        <w:tc>
          <w:tcPr>
            <w:tcW w:w="155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驾驶人员</w:t>
            </w:r>
          </w:p>
        </w:tc>
        <w:tc>
          <w:tcPr>
            <w:tcW w:w="1983"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2268" w:type="dxa"/>
            <w:vAlign w:val="center"/>
          </w:tcPr>
          <w:p>
            <w:pPr>
              <w:spacing w:line="440" w:lineRule="exact"/>
              <w:rPr>
                <w:rFonts w:hint="eastAsia" w:ascii="宋体" w:hAnsi="宋体" w:eastAsia="宋体" w:cs="宋体"/>
                <w:color w:val="000000"/>
                <w:kern w:val="0"/>
                <w:sz w:val="21"/>
                <w:szCs w:val="21"/>
                <w:highlight w:val="none"/>
              </w:rPr>
            </w:pPr>
          </w:p>
        </w:tc>
        <w:tc>
          <w:tcPr>
            <w:tcW w:w="184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w:t>
            </w:r>
          </w:p>
        </w:tc>
        <w:tc>
          <w:tcPr>
            <w:tcW w:w="155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保洁人员</w:t>
            </w:r>
          </w:p>
        </w:tc>
        <w:tc>
          <w:tcPr>
            <w:tcW w:w="1983"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2268" w:type="dxa"/>
            <w:vAlign w:val="center"/>
          </w:tcPr>
          <w:p>
            <w:pPr>
              <w:spacing w:line="440" w:lineRule="exact"/>
              <w:rPr>
                <w:rFonts w:hint="eastAsia" w:ascii="宋体" w:hAnsi="宋体" w:eastAsia="宋体" w:cs="宋体"/>
                <w:color w:val="000000"/>
                <w:kern w:val="0"/>
                <w:sz w:val="21"/>
                <w:szCs w:val="21"/>
                <w:highlight w:val="none"/>
              </w:rPr>
            </w:pPr>
          </w:p>
        </w:tc>
        <w:tc>
          <w:tcPr>
            <w:tcW w:w="184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pStyle w:val="19"/>
              <w:tabs>
                <w:tab w:val="left" w:pos="999"/>
              </w:tabs>
              <w:spacing w:line="440" w:lineRule="exact"/>
              <w:ind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559" w:type="dxa"/>
            <w:vAlign w:val="center"/>
          </w:tcPr>
          <w:p>
            <w:pPr>
              <w:pStyle w:val="19"/>
              <w:tabs>
                <w:tab w:val="left" w:pos="999"/>
              </w:tabs>
              <w:spacing w:line="440" w:lineRule="exact"/>
              <w:ind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收运人员</w:t>
            </w:r>
          </w:p>
        </w:tc>
        <w:tc>
          <w:tcPr>
            <w:tcW w:w="1983"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2268" w:type="dxa"/>
            <w:vAlign w:val="center"/>
          </w:tcPr>
          <w:p>
            <w:pPr>
              <w:spacing w:line="440" w:lineRule="exact"/>
              <w:rPr>
                <w:rFonts w:hint="eastAsia" w:ascii="宋体" w:hAnsi="宋体" w:eastAsia="宋体" w:cs="宋体"/>
                <w:color w:val="000000"/>
                <w:kern w:val="0"/>
                <w:sz w:val="21"/>
                <w:szCs w:val="21"/>
                <w:highlight w:val="none"/>
              </w:rPr>
            </w:pPr>
          </w:p>
        </w:tc>
        <w:tc>
          <w:tcPr>
            <w:tcW w:w="184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w:t>
            </w:r>
          </w:p>
        </w:tc>
        <w:tc>
          <w:tcPr>
            <w:tcW w:w="1559"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1983"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226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c>
          <w:tcPr>
            <w:tcW w:w="1848" w:type="dxa"/>
            <w:vAlign w:val="center"/>
          </w:tcPr>
          <w:p>
            <w:pPr>
              <w:pStyle w:val="19"/>
              <w:tabs>
                <w:tab w:val="left" w:pos="999"/>
              </w:tabs>
              <w:spacing w:line="440" w:lineRule="exact"/>
              <w:ind w:firstLine="0" w:firstLineChars="0"/>
              <w:jc w:val="center"/>
              <w:rPr>
                <w:rFonts w:hint="eastAsia" w:ascii="宋体" w:hAnsi="宋体" w:eastAsia="宋体" w:cs="宋体"/>
                <w:color w:val="000000"/>
                <w:kern w:val="0"/>
                <w:sz w:val="21"/>
                <w:szCs w:val="21"/>
                <w:highlight w:val="none"/>
              </w:rPr>
            </w:pPr>
          </w:p>
        </w:tc>
      </w:tr>
    </w:tbl>
    <w:p>
      <w:pPr>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（二）人员培训和管理</w:t>
      </w:r>
    </w:p>
    <w:p>
      <w:pPr>
        <w:pStyle w:val="19"/>
        <w:pageBreakBefore w:val="0"/>
        <w:widowControl w:val="0"/>
        <w:tabs>
          <w:tab w:val="left" w:pos="999"/>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乙方有义务对环卫作业人员进行上岗前的行为规范培训，进行环卫作业人员行为规范培训（参照《武汉市环境卫生精细化管理工作导则》和《武汉市环境卫生作业规范》(DB4201-T5752019)》），督促其落实文明、安全、规范作业要求。</w:t>
      </w:r>
    </w:p>
    <w:p>
      <w:pPr>
        <w:pStyle w:val="19"/>
        <w:pageBreakBefore w:val="0"/>
        <w:widowControl w:val="0"/>
        <w:tabs>
          <w:tab w:val="left" w:pos="999"/>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2.乙方应该参照《武汉市环境卫生精细化管理工作导则》“环卫队伍管理”章节要求做好人员管理，落实装备配备、优化勤务模式、文明安全等要求，详见附件2。</w:t>
      </w:r>
    </w:p>
    <w:p>
      <w:pPr>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（三）福利待遇</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1．乙方有义务落实环卫工人薪酬福利待遇。合同制环卫工人（含劳务派遣工）基本工资按照不低于当地最低工资标准的130%确定，逢政策性调整最低工资标准时相应调整。</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月人民政府办公厅发布的最低工资标准要求，自</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月起，武汉主城区最低工资为</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元，按130%计算为</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元/月。新城区环卫工人最低基本工资</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元，按130%计算为</w:t>
      </w:r>
      <w:r>
        <w:rPr>
          <w:rFonts w:hint="eastAsia" w:ascii="宋体" w:hAnsi="宋体" w:eastAsia="宋体" w:cs="宋体"/>
          <w:color w:val="000000"/>
          <w:sz w:val="21"/>
          <w:szCs w:val="21"/>
          <w:highlight w:val="none"/>
          <w:lang w:val="en-US" w:eastAsia="zh-CN"/>
        </w:rPr>
        <w:t>___</w:t>
      </w:r>
      <w:r>
        <w:rPr>
          <w:rFonts w:hint="eastAsia" w:ascii="宋体" w:hAnsi="宋体" w:eastAsia="宋体" w:cs="宋体"/>
          <w:color w:val="000000"/>
          <w:sz w:val="21"/>
          <w:szCs w:val="21"/>
          <w:highlight w:val="none"/>
        </w:rPr>
        <w:t>元/月。</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2．按照国家法律或省市相关规定，为符合条件的环卫工人足额缴纳五险一金，购买意外伤害等商业保险。</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3．按照国家、省相关规定，发放加班工资、高温津贴等补助。根据天气预报，当日最高气温≥35℃时，对从事室外露天作业的人员按照</w:t>
      </w:r>
      <w:r>
        <w:rPr>
          <w:rFonts w:hint="eastAsia" w:ascii="宋体" w:hAnsi="宋体" w:eastAsia="宋体" w:cs="宋体"/>
          <w:color w:val="000000"/>
          <w:sz w:val="21"/>
          <w:szCs w:val="21"/>
          <w:highlight w:val="none"/>
          <w:u w:val="single"/>
        </w:rPr>
        <w:t>12</w:t>
      </w:r>
      <w:r>
        <w:rPr>
          <w:rFonts w:hint="eastAsia" w:ascii="宋体" w:hAnsi="宋体" w:eastAsia="宋体" w:cs="宋体"/>
          <w:color w:val="000000"/>
          <w:sz w:val="21"/>
          <w:szCs w:val="21"/>
          <w:highlight w:val="none"/>
        </w:rPr>
        <w:t>元/天标准发放高温补贴。气温达到40℃时停止户外作业。每周工作时间超</w:t>
      </w:r>
      <w:r>
        <w:rPr>
          <w:rFonts w:hint="eastAsia" w:ascii="宋体" w:hAnsi="宋体" w:eastAsia="宋体" w:cs="宋体"/>
          <w:color w:val="000000"/>
          <w:sz w:val="21"/>
          <w:szCs w:val="21"/>
          <w:highlight w:val="none"/>
          <w:u w:val="none"/>
        </w:rPr>
        <w:t>过</w:t>
      </w:r>
      <w:r>
        <w:rPr>
          <w:rFonts w:hint="eastAsia" w:ascii="宋体" w:hAnsi="宋体" w:eastAsia="宋体" w:cs="宋体"/>
          <w:color w:val="000000"/>
          <w:sz w:val="21"/>
          <w:szCs w:val="21"/>
          <w:highlight w:val="none"/>
          <w:u w:val="none"/>
          <w:lang w:val="en-US" w:eastAsia="zh-CN"/>
        </w:rPr>
        <w:t>_</w:t>
      </w:r>
      <w:r>
        <w:rPr>
          <w:rFonts w:hint="eastAsia" w:ascii="宋体" w:hAnsi="宋体" w:eastAsia="宋体" w:cs="宋体"/>
          <w:color w:val="000000"/>
          <w:sz w:val="21"/>
          <w:szCs w:val="21"/>
          <w:highlight w:val="none"/>
          <w:u w:val="single"/>
          <w:lang w:val="en-US" w:eastAsia="zh-CN"/>
        </w:rPr>
        <w:t>40</w:t>
      </w:r>
      <w:r>
        <w:rPr>
          <w:rFonts w:hint="eastAsia" w:ascii="宋体" w:hAnsi="宋体" w:eastAsia="宋体" w:cs="宋体"/>
          <w:color w:val="000000"/>
          <w:sz w:val="21"/>
          <w:szCs w:val="21"/>
          <w:highlight w:val="none"/>
          <w:u w:val="none"/>
          <w:lang w:val="en-US" w:eastAsia="zh-CN"/>
        </w:rPr>
        <w:t>_</w:t>
      </w:r>
      <w:r>
        <w:rPr>
          <w:rFonts w:hint="eastAsia" w:ascii="宋体" w:hAnsi="宋体" w:eastAsia="宋体" w:cs="宋体"/>
          <w:color w:val="000000"/>
          <w:sz w:val="21"/>
          <w:szCs w:val="21"/>
          <w:highlight w:val="none"/>
          <w:u w:val="none"/>
        </w:rPr>
        <w:t>小时的，按每小时</w:t>
      </w:r>
      <w:r>
        <w:rPr>
          <w:rFonts w:hint="eastAsia" w:ascii="宋体" w:hAnsi="宋体" w:eastAsia="宋体" w:cs="宋体"/>
          <w:color w:val="000000"/>
          <w:sz w:val="21"/>
          <w:szCs w:val="21"/>
          <w:highlight w:val="none"/>
          <w:u w:val="none"/>
          <w:lang w:val="en-US" w:eastAsia="zh-CN"/>
        </w:rPr>
        <w:t>___</w:t>
      </w:r>
      <w:r>
        <w:rPr>
          <w:rFonts w:hint="eastAsia" w:ascii="宋体" w:hAnsi="宋体" w:eastAsia="宋体" w:cs="宋体"/>
          <w:color w:val="000000"/>
          <w:sz w:val="21"/>
          <w:szCs w:val="21"/>
          <w:highlight w:val="none"/>
          <w:u w:val="none"/>
        </w:rPr>
        <w:t>元标准发放加班费。</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4．每年组织环卫工人进行健康体检，体检费用不低于</w:t>
      </w:r>
      <w:r>
        <w:rPr>
          <w:rFonts w:hint="eastAsia" w:ascii="宋体" w:hAnsi="宋体" w:eastAsia="宋体" w:cs="宋体"/>
          <w:color w:val="000000"/>
          <w:sz w:val="21"/>
          <w:szCs w:val="21"/>
          <w:highlight w:val="none"/>
          <w:u w:val="single"/>
        </w:rPr>
        <w:t>500</w:t>
      </w:r>
      <w:r>
        <w:rPr>
          <w:rFonts w:hint="eastAsia" w:ascii="宋体" w:hAnsi="宋体" w:eastAsia="宋体" w:cs="宋体"/>
          <w:color w:val="000000"/>
          <w:sz w:val="21"/>
          <w:szCs w:val="21"/>
          <w:highlight w:val="none"/>
        </w:rPr>
        <w:t>元/人。</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sz w:val="21"/>
          <w:szCs w:val="21"/>
          <w:highlight w:val="none"/>
          <w:u w:val="none"/>
        </w:rPr>
      </w:pPr>
      <w:bookmarkStart w:id="4" w:name="_Toc10299"/>
      <w:r>
        <w:rPr>
          <w:rFonts w:hint="eastAsia" w:ascii="宋体" w:hAnsi="宋体" w:eastAsia="宋体" w:cs="宋体"/>
          <w:b/>
          <w:bCs/>
          <w:sz w:val="21"/>
          <w:szCs w:val="21"/>
          <w:highlight w:val="none"/>
          <w:u w:val="none"/>
        </w:rPr>
        <w:t>五、设施设备配置与管理</w:t>
      </w:r>
      <w:bookmarkEnd w:id="4"/>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作业设备配置。</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乙方应严格参照按照甲方招标文件要求，本项目需配备的各类作业设备数量如下：</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881"/>
        <w:gridCol w:w="705"/>
        <w:gridCol w:w="2389"/>
        <w:gridCol w:w="1114"/>
        <w:gridCol w:w="1114"/>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包号</w:t>
            </w:r>
          </w:p>
        </w:tc>
        <w:tc>
          <w:tcPr>
            <w:tcW w:w="1881"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机械设备名称</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总需求数量</w:t>
            </w:r>
          </w:p>
        </w:tc>
        <w:tc>
          <w:tcPr>
            <w:tcW w:w="2389"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基本要求</w:t>
            </w: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rPr>
            </w:pPr>
            <w:r>
              <w:rPr>
                <w:rFonts w:hint="eastAsia" w:ascii="宋体" w:hAnsi="宋体" w:cs="宋体"/>
                <w:sz w:val="21"/>
                <w:szCs w:val="21"/>
                <w:highlight w:val="none"/>
              </w:rPr>
              <w:t>采购人能够提供的设备数量</w:t>
            </w: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中标人需配备的设备数量</w:t>
            </w: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其中新能源车辆比例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restart"/>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包1</w:t>
            </w: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宋体"/>
                <w:sz w:val="21"/>
                <w:szCs w:val="21"/>
                <w:highlight w:val="none"/>
                <w:lang w:val="en-US" w:eastAsia="zh-CN"/>
              </w:rPr>
            </w:pPr>
            <w:r>
              <w:rPr>
                <w:rFonts w:hint="eastAsia" w:ascii="宋体" w:hAnsi="宋体" w:cs="宋体"/>
                <w:sz w:val="21"/>
                <w:szCs w:val="21"/>
                <w:highlight w:val="none"/>
                <w:lang w:val="en-US" w:eastAsia="zh-CN"/>
              </w:rPr>
              <w:t>吸扫车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整备质量≥      KG</w:t>
            </w: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restart"/>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sz w:val="21"/>
                <w:szCs w:val="21"/>
                <w:highlight w:val="none"/>
                <w:vertAlign w:val="baseline"/>
                <w:lang w:val="en-US" w:eastAsia="zh-CN"/>
              </w:rPr>
              <w:t>除3类小型作业车辆外，其他车型新能源占比不低于总数的15%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高压清洗车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小型高压冲洗车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ascii="宋体" w:hAnsi="宋体" w:cs="宋体"/>
                <w:sz w:val="21"/>
                <w:szCs w:val="21"/>
                <w:highlight w:val="none"/>
                <w:lang w:val="en-US" w:eastAsia="zh-CN"/>
              </w:rPr>
            </w:pPr>
            <w:r>
              <w:rPr>
                <w:rFonts w:hint="eastAsia" w:ascii="宋体" w:hAnsi="宋体" w:cs="宋体"/>
                <w:sz w:val="21"/>
                <w:szCs w:val="21"/>
                <w:highlight w:val="none"/>
                <w:lang w:val="en-US" w:eastAsia="zh-CN"/>
              </w:rPr>
              <w:t>洒水车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ascii="宋体" w:hAnsi="宋体" w:cs="宋体"/>
                <w:sz w:val="21"/>
                <w:szCs w:val="21"/>
                <w:highlight w:val="none"/>
                <w:lang w:val="en-US" w:eastAsia="zh-CN"/>
              </w:rPr>
            </w:pPr>
            <w:r>
              <w:rPr>
                <w:rFonts w:hint="eastAsia" w:ascii="宋体" w:hAnsi="宋体" w:cs="宋体"/>
                <w:sz w:val="21"/>
                <w:szCs w:val="21"/>
                <w:highlight w:val="none"/>
                <w:lang w:val="en-US" w:eastAsia="zh-CN"/>
              </w:rPr>
              <w:t>护栏清洗车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ascii="宋体" w:hAnsi="宋体" w:cs="宋体"/>
                <w:sz w:val="21"/>
                <w:szCs w:val="21"/>
                <w:highlight w:val="none"/>
                <w:lang w:val="en-US" w:eastAsia="zh-CN"/>
              </w:rPr>
            </w:pPr>
            <w:r>
              <w:rPr>
                <w:rFonts w:hint="eastAsia" w:ascii="宋体" w:hAnsi="宋体" w:cs="宋体"/>
                <w:sz w:val="21"/>
                <w:szCs w:val="21"/>
                <w:highlight w:val="none"/>
                <w:lang w:val="en-US" w:eastAsia="zh-CN"/>
              </w:rPr>
              <w:t>隔音屏清洗车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仿宋_GB2312" w:cs="宋体"/>
                <w:sz w:val="21"/>
                <w:szCs w:val="21"/>
                <w:highlight w:val="none"/>
                <w:lang w:val="en-US" w:eastAsia="zh-CN"/>
              </w:rPr>
            </w:pPr>
            <w:r>
              <w:rPr>
                <w:rFonts w:hint="eastAsia" w:ascii="宋体" w:hAnsi="宋体" w:cs="宋体"/>
                <w:sz w:val="21"/>
                <w:szCs w:val="21"/>
                <w:highlight w:val="none"/>
                <w:lang w:val="en-US" w:eastAsia="zh-CN"/>
              </w:rPr>
              <w:t>其他垃圾</w:t>
            </w:r>
            <w:r>
              <w:rPr>
                <w:rFonts w:hint="eastAsia" w:ascii="仿宋_GB2312" w:hAnsi="仿宋_GB2312" w:eastAsia="仿宋_GB2312" w:cs="仿宋_GB2312"/>
                <w:color w:val="000000"/>
                <w:sz w:val="21"/>
                <w:szCs w:val="21"/>
                <w:highlight w:val="none"/>
                <w:lang w:val="en-US" w:eastAsia="zh-CN"/>
              </w:rPr>
              <w:t>收运车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ascii="宋体" w:hAnsi="宋体" w:cs="宋体"/>
                <w:sz w:val="21"/>
                <w:szCs w:val="21"/>
                <w:highlight w:val="none"/>
                <w:lang w:val="en-US" w:eastAsia="zh-CN"/>
              </w:rPr>
            </w:pPr>
            <w:r>
              <w:rPr>
                <w:rFonts w:hint="eastAsia" w:ascii="宋体" w:hAnsi="宋体" w:cs="宋体"/>
                <w:sz w:val="21"/>
                <w:szCs w:val="21"/>
                <w:highlight w:val="none"/>
                <w:lang w:val="en-US" w:eastAsia="zh-CN"/>
              </w:rPr>
              <w:t>厨余垃圾收运车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小型巡回保洁车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restart"/>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3类小型作业车辆的新能源占比应达到100%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小型人行道清洗车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pStyle w:val="19"/>
              <w:keepNext w:val="0"/>
              <w:keepLines w:val="0"/>
              <w:pageBreakBefore w:val="0"/>
              <w:widowControl w:val="0"/>
              <w:tabs>
                <w:tab w:val="left" w:pos="999"/>
              </w:tabs>
              <w:kinsoku/>
              <w:wordWrap/>
              <w:overflowPunct/>
              <w:topLinePunct w:val="0"/>
              <w:autoSpaceDE/>
              <w:autoSpaceDN/>
              <w:bidi w:val="0"/>
              <w:adjustRightInd/>
              <w:snapToGrid/>
              <w:spacing w:line="280" w:lineRule="exact"/>
              <w:ind w:firstLine="0" w:firstLineChars="0"/>
              <w:jc w:val="center"/>
              <w:textAlignment w:val="auto"/>
              <w:rPr>
                <w:rFonts w:ascii="宋体" w:hAnsi="宋体" w:cs="宋体"/>
                <w:sz w:val="21"/>
                <w:szCs w:val="21"/>
                <w:highlight w:val="none"/>
                <w:lang w:val="en-US" w:eastAsia="zh-CN"/>
              </w:rPr>
            </w:pPr>
            <w:r>
              <w:rPr>
                <w:rFonts w:hint="eastAsia" w:ascii="宋体" w:hAnsi="宋体" w:cs="宋体"/>
                <w:sz w:val="21"/>
                <w:szCs w:val="21"/>
                <w:highlight w:val="none"/>
                <w:lang w:val="en-US" w:eastAsia="zh-CN"/>
              </w:rPr>
              <w:t>小型巡回收运车</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238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sz w:val="21"/>
                <w:szCs w:val="21"/>
                <w:highlight w:val="none"/>
                <w:u w:val="singl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dxa"/>
            <w:vMerge w:val="continue"/>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881"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w:t>
            </w:r>
          </w:p>
        </w:tc>
        <w:tc>
          <w:tcPr>
            <w:tcW w:w="705"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rPr>
              <w:t>……</w:t>
            </w:r>
          </w:p>
        </w:tc>
        <w:tc>
          <w:tcPr>
            <w:tcW w:w="2389"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辆</w:t>
            </w:r>
          </w:p>
        </w:tc>
        <w:tc>
          <w:tcPr>
            <w:tcW w:w="1114" w:type="dxa"/>
            <w:vAlign w:val="center"/>
          </w:tcPr>
          <w:p>
            <w:pPr>
              <w:keepNext w:val="0"/>
              <w:keepLines w:val="0"/>
              <w:pageBreakBefore w:val="0"/>
              <w:widowControl w:val="0"/>
              <w:tabs>
                <w:tab w:val="left" w:pos="1155"/>
              </w:tabs>
              <w:kinsoku/>
              <w:wordWrap/>
              <w:overflowPunct/>
              <w:topLinePunct w:val="0"/>
              <w:autoSpaceDE/>
              <w:autoSpaceDN/>
              <w:bidi w:val="0"/>
              <w:adjustRightInd/>
              <w:snapToGrid/>
              <w:spacing w:line="280" w:lineRule="exact"/>
              <w:jc w:val="center"/>
              <w:textAlignment w:val="auto"/>
              <w:rPr>
                <w:rFonts w:ascii="宋体" w:hAnsi="宋体" w:cs="宋体"/>
                <w:sz w:val="21"/>
                <w:szCs w:val="21"/>
                <w:highlight w:val="none"/>
              </w:rPr>
            </w:pPr>
          </w:p>
        </w:tc>
      </w:tr>
    </w:tbl>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其他设施配置</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本项目已配备废物箱     个、垃圾桶     个，乙方还需配备废物箱     个、垃圾桶     个。</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本项目已配备车辆停保场所    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停车位    个</w:t>
      </w:r>
      <w:r>
        <w:rPr>
          <w:rFonts w:hint="eastAsia" w:ascii="宋体" w:hAnsi="宋体" w:eastAsia="宋体" w:cs="宋体"/>
          <w:sz w:val="21"/>
          <w:szCs w:val="21"/>
          <w:highlight w:val="none"/>
        </w:rPr>
        <w:t>，乙方还需配备停保场所    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停车位    个</w:t>
      </w:r>
      <w:r>
        <w:rPr>
          <w:rFonts w:hint="eastAsia" w:ascii="宋体" w:hAnsi="宋体" w:eastAsia="宋体" w:cs="宋体"/>
          <w:sz w:val="21"/>
          <w:szCs w:val="21"/>
          <w:highlight w:val="none"/>
        </w:rPr>
        <w:t>。</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设施设备管理</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rPr>
        <w:t>乙方应该参照《武汉市环境卫生精细化管理工作导则》“环卫车辆”章节规定做好环卫车辆管理，落实车辆标识喷涂、“三应三禁”、安全规范等要求；参照“环卫作息间、环卫停保场”等章节规定做好作息间、停保场管理。</w:t>
      </w:r>
      <w:r>
        <w:rPr>
          <w:rFonts w:hint="eastAsia" w:ascii="宋体" w:hAnsi="宋体" w:eastAsia="宋体" w:cs="宋体"/>
          <w:color w:val="FF0000"/>
          <w:sz w:val="21"/>
          <w:szCs w:val="21"/>
          <w:highlight w:val="none"/>
        </w:rPr>
        <w:t>详见附件3。</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Chars="200"/>
        <w:textAlignment w:val="auto"/>
        <w:rPr>
          <w:rFonts w:hint="eastAsia"/>
          <w:b/>
          <w:bCs/>
          <w:highlight w:val="none"/>
          <w:u w:val="none"/>
        </w:rPr>
      </w:pPr>
      <w:r>
        <w:rPr>
          <w:rFonts w:hint="eastAsia" w:ascii="宋体" w:hAnsi="宋体" w:cs="宋体"/>
          <w:b/>
          <w:bCs/>
          <w:i w:val="0"/>
          <w:iCs w:val="0"/>
          <w:sz w:val="21"/>
          <w:szCs w:val="21"/>
          <w:highlight w:val="none"/>
          <w:u w:val="none"/>
          <w:lang w:val="en-US" w:eastAsia="zh-CN"/>
        </w:rPr>
        <w:t>（注：甲方应根据招标文件要求，调整上述标准及内容，与招标文件保持一致。）</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sz w:val="21"/>
          <w:szCs w:val="21"/>
          <w:highlight w:val="none"/>
        </w:rPr>
      </w:pPr>
      <w:bookmarkStart w:id="5" w:name="_Toc18823"/>
      <w:r>
        <w:rPr>
          <w:rFonts w:hint="eastAsia" w:ascii="宋体" w:hAnsi="宋体" w:eastAsia="宋体" w:cs="宋体"/>
          <w:b/>
          <w:bCs/>
          <w:sz w:val="21"/>
          <w:szCs w:val="21"/>
          <w:highlight w:val="none"/>
        </w:rPr>
        <w:t>六、合同期限</w:t>
      </w:r>
      <w:bookmarkEnd w:id="5"/>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1、本合同期限自</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日起至</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日止，</w:t>
      </w:r>
      <w:r>
        <w:rPr>
          <w:rFonts w:hint="eastAsia" w:ascii="宋体" w:hAnsi="宋体" w:eastAsia="宋体" w:cs="宋体"/>
          <w:color w:val="FF0000"/>
          <w:sz w:val="21"/>
          <w:szCs w:val="21"/>
          <w:highlight w:val="none"/>
        </w:rPr>
        <w:t>共</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FF0000"/>
          <w:sz w:val="21"/>
          <w:szCs w:val="21"/>
          <w:highlight w:val="none"/>
        </w:rPr>
        <w:t>年</w:t>
      </w:r>
      <w:r>
        <w:rPr>
          <w:rFonts w:hint="eastAsia" w:ascii="宋体" w:hAnsi="宋体" w:eastAsia="宋体" w:cs="宋体"/>
          <w:color w:val="000000"/>
          <w:sz w:val="21"/>
          <w:szCs w:val="21"/>
          <w:highlight w:val="none"/>
        </w:rPr>
        <w:t>。有效期届满，甲方有权根据乙方服务期内的合同履约情况自行决定是否续签，续签次数不得超过</w:t>
      </w:r>
      <w:r>
        <w:rPr>
          <w:rFonts w:hint="eastAsia" w:ascii="宋体" w:hAnsi="宋体" w:eastAsia="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rPr>
        <w:t>次，每次不超过</w:t>
      </w:r>
      <w:r>
        <w:rPr>
          <w:rFonts w:hint="eastAsia" w:ascii="宋体" w:hAnsi="宋体" w:eastAsia="宋体" w:cs="宋体"/>
          <w:color w:val="000000"/>
          <w:sz w:val="21"/>
          <w:szCs w:val="21"/>
          <w:highlight w:val="none"/>
          <w:u w:val="single"/>
          <w:lang w:val="en-US" w:eastAsia="zh-CN"/>
        </w:rPr>
        <w:t>1</w:t>
      </w:r>
      <w:r>
        <w:rPr>
          <w:rFonts w:hint="eastAsia" w:ascii="宋体" w:hAnsi="宋体" w:eastAsia="宋体" w:cs="宋体"/>
          <w:color w:val="000000"/>
          <w:sz w:val="21"/>
          <w:szCs w:val="21"/>
          <w:highlight w:val="none"/>
        </w:rPr>
        <w:t>年，总服务期限不</w:t>
      </w:r>
      <w:r>
        <w:rPr>
          <w:rFonts w:hint="eastAsia" w:ascii="宋体" w:hAnsi="宋体" w:eastAsia="宋体" w:cs="宋体"/>
          <w:color w:val="auto"/>
          <w:sz w:val="21"/>
          <w:szCs w:val="21"/>
          <w:highlight w:val="none"/>
        </w:rPr>
        <w:t>得超过</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年。</w:t>
      </w:r>
    </w:p>
    <w:p>
      <w:pPr>
        <w:pageBreakBefore w:val="0"/>
        <w:widowControl w:val="0"/>
        <w:kinsoku/>
        <w:wordWrap/>
        <w:overflowPunct/>
        <w:topLinePunct w:val="0"/>
        <w:autoSpaceDE/>
        <w:autoSpaceDN/>
        <w:bidi w:val="0"/>
        <w:spacing w:line="440" w:lineRule="exact"/>
        <w:ind w:firstLine="421"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注：应与招标需求保持一致</w:t>
      </w:r>
      <w:r>
        <w:rPr>
          <w:rFonts w:hint="eastAsia" w:ascii="宋体" w:hAnsi="宋体" w:eastAsia="宋体" w:cs="宋体"/>
          <w:b/>
          <w:bCs/>
          <w:color w:val="auto"/>
          <w:sz w:val="21"/>
          <w:szCs w:val="21"/>
          <w:highlight w:val="none"/>
          <w:lang w:eastAsia="zh-CN"/>
        </w:rPr>
        <w:t>）</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sz w:val="21"/>
          <w:szCs w:val="21"/>
          <w:highlight w:val="none"/>
        </w:rPr>
      </w:pPr>
      <w:bookmarkStart w:id="6" w:name="_Toc30192"/>
      <w:r>
        <w:rPr>
          <w:rFonts w:hint="eastAsia" w:ascii="宋体" w:hAnsi="宋体" w:eastAsia="宋体" w:cs="宋体"/>
          <w:b/>
          <w:bCs/>
          <w:sz w:val="21"/>
          <w:szCs w:val="21"/>
          <w:highlight w:val="none"/>
        </w:rPr>
        <w:t>七、双方权利与义务</w:t>
      </w:r>
      <w:bookmarkEnd w:id="6"/>
    </w:p>
    <w:p>
      <w:pPr>
        <w:pageBreakBefore w:val="0"/>
        <w:widowControl w:val="0"/>
        <w:kinsoku/>
        <w:wordWrap/>
        <w:overflowPunct/>
        <w:topLinePunct w:val="0"/>
        <w:autoSpaceDE/>
        <w:autoSpaceDN/>
        <w:bidi w:val="0"/>
        <w:spacing w:line="440" w:lineRule="exact"/>
        <w:ind w:firstLine="421"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（一）甲方权利与义务</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1.指导、监督乙方完成本合同</w:t>
      </w:r>
      <w:r>
        <w:rPr>
          <w:rFonts w:hint="eastAsia" w:ascii="宋体" w:hAnsi="宋体" w:eastAsia="宋体" w:cs="宋体"/>
          <w:color w:val="000000"/>
          <w:sz w:val="21"/>
          <w:szCs w:val="21"/>
          <w:highlight w:val="none"/>
          <w:lang w:val="en-US" w:eastAsia="zh-CN"/>
        </w:rPr>
        <w:t>约定的服务</w:t>
      </w:r>
      <w:r>
        <w:rPr>
          <w:rFonts w:hint="eastAsia" w:ascii="宋体" w:hAnsi="宋体" w:eastAsia="宋体" w:cs="宋体"/>
          <w:color w:val="000000"/>
          <w:sz w:val="21"/>
          <w:szCs w:val="21"/>
          <w:highlight w:val="none"/>
        </w:rPr>
        <w:t>内容。</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制定检查考核办法，对乙方履约情况进行考评，按照考评结果按时支付服务费，并实施相应奖惩</w:t>
      </w:r>
      <w:r>
        <w:rPr>
          <w:rFonts w:hint="eastAsia" w:ascii="宋体" w:hAnsi="宋体" w:eastAsia="宋体" w:cs="宋体"/>
          <w:color w:val="000000"/>
          <w:sz w:val="21"/>
          <w:szCs w:val="21"/>
          <w:highlight w:val="none"/>
        </w:rPr>
        <w:t>（详情见“十五、考核奖惩办法”）。甲方可以根据武汉市城市综合管理考核标准相关规定，修改调整甲方现有质量要求及考评办法，乙方不得持任何异议。</w:t>
      </w:r>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3.甲乙双方应协商取水桩位安装和支付取水费用等义务归属，一般情况下由甲方提供取水桩位并承担取水费用（水费不包含在本次合同</w:t>
      </w:r>
      <w:r>
        <w:rPr>
          <w:rFonts w:hint="eastAsia" w:ascii="宋体" w:hAnsi="宋体" w:eastAsia="宋体" w:cs="宋体"/>
          <w:color w:val="000000"/>
          <w:sz w:val="21"/>
          <w:szCs w:val="21"/>
          <w:highlight w:val="none"/>
          <w:lang w:val="en-US" w:eastAsia="zh-CN"/>
        </w:rPr>
        <w:t>金额</w:t>
      </w:r>
      <w:r>
        <w:rPr>
          <w:rFonts w:hint="eastAsia" w:ascii="宋体" w:hAnsi="宋体" w:eastAsia="宋体" w:cs="宋体"/>
          <w:color w:val="000000"/>
          <w:sz w:val="21"/>
          <w:szCs w:val="21"/>
          <w:highlight w:val="none"/>
        </w:rPr>
        <w:t>中），甲乙双方有其他约定的除外。</w:t>
      </w:r>
    </w:p>
    <w:p>
      <w:pPr>
        <w:keepNext w:val="0"/>
        <w:keepLines w:val="0"/>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outlineLvl w:val="9"/>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.要求乙方按照全市统一规定，参加环卫行业企业信用等级评价工作</w:t>
      </w:r>
      <w:r>
        <w:rPr>
          <w:rFonts w:hint="eastAsia" w:ascii="宋体" w:hAnsi="宋体" w:eastAsia="宋体" w:cs="宋体"/>
          <w:color w:val="auto"/>
          <w:sz w:val="21"/>
          <w:szCs w:val="21"/>
          <w:highlight w:val="none"/>
        </w:rPr>
        <w:t>。</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.听取乙方提出的建议并给予答复。</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.更改联系方式或其他信息时应及时告知乙方。</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.其他权利及义务（如有，请补充）</w:t>
      </w:r>
    </w:p>
    <w:p>
      <w:pPr>
        <w:pageBreakBefore w:val="0"/>
        <w:widowControl w:val="0"/>
        <w:kinsoku/>
        <w:wordWrap/>
        <w:overflowPunct/>
        <w:topLinePunct w:val="0"/>
        <w:autoSpaceDE/>
        <w:autoSpaceDN/>
        <w:bidi w:val="0"/>
        <w:spacing w:line="440" w:lineRule="exact"/>
        <w:ind w:firstLine="421"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（二）乙方权利与义务</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sz w:val="21"/>
          <w:szCs w:val="21"/>
          <w:highlight w:val="none"/>
        </w:rPr>
        <w:t>按照合同约定开展服务，足额配备作业车辆和人员，及时处置各类环境卫生问题，确保作业质量达标。</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制定服务区域日常作业管理和质检巡查制度，</w:t>
      </w:r>
      <w:r>
        <w:rPr>
          <w:rFonts w:hint="eastAsia" w:ascii="宋体" w:hAnsi="宋体" w:eastAsia="宋体" w:cs="宋体"/>
          <w:color w:val="000000"/>
          <w:sz w:val="21"/>
          <w:szCs w:val="21"/>
          <w:highlight w:val="none"/>
        </w:rPr>
        <w:t>做好</w:t>
      </w:r>
      <w:r>
        <w:rPr>
          <w:rFonts w:hint="eastAsia" w:ascii="宋体" w:hAnsi="宋体" w:eastAsia="宋体" w:cs="宋体"/>
          <w:color w:val="000000"/>
          <w:sz w:val="21"/>
          <w:szCs w:val="21"/>
          <w:highlight w:val="none"/>
          <w:lang w:val="en-US" w:eastAsia="zh-CN"/>
        </w:rPr>
        <w:t>相关</w:t>
      </w:r>
      <w:r>
        <w:rPr>
          <w:rFonts w:hint="eastAsia" w:ascii="宋体" w:hAnsi="宋体" w:eastAsia="宋体" w:cs="宋体"/>
          <w:color w:val="000000"/>
          <w:sz w:val="21"/>
          <w:szCs w:val="21"/>
          <w:highlight w:val="none"/>
        </w:rPr>
        <w:t>台账记录，</w:t>
      </w:r>
      <w:r>
        <w:rPr>
          <w:rFonts w:hint="eastAsia" w:ascii="宋体" w:hAnsi="宋体" w:eastAsia="宋体" w:cs="宋体"/>
          <w:color w:val="000000"/>
          <w:sz w:val="21"/>
          <w:szCs w:val="21"/>
          <w:highlight w:val="none"/>
          <w:lang w:val="en-US" w:eastAsia="zh-CN"/>
        </w:rPr>
        <w:t>经甲方认可并备案。</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及时完成甲方交办的各项工作，接受甲方及</w:t>
      </w:r>
      <w:r>
        <w:rPr>
          <w:rFonts w:hint="eastAsia" w:ascii="宋体" w:hAnsi="宋体" w:eastAsia="宋体" w:cs="宋体"/>
          <w:color w:val="000000"/>
          <w:sz w:val="21"/>
          <w:szCs w:val="21"/>
          <w:highlight w:val="none"/>
          <w:lang w:val="en-US" w:eastAsia="zh-CN"/>
        </w:rPr>
        <w:t>上级主管</w:t>
      </w:r>
      <w:r>
        <w:rPr>
          <w:rFonts w:hint="eastAsia" w:ascii="宋体" w:hAnsi="宋体" w:eastAsia="宋体" w:cs="宋体"/>
          <w:color w:val="000000"/>
          <w:sz w:val="21"/>
          <w:szCs w:val="21"/>
          <w:highlight w:val="none"/>
        </w:rPr>
        <w:t>部门的检查考核及奖惩措施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接受甲方</w:t>
      </w:r>
      <w:r>
        <w:rPr>
          <w:rFonts w:hint="eastAsia" w:ascii="宋体" w:hAnsi="宋体" w:eastAsia="宋体" w:cs="宋体"/>
          <w:color w:val="000000"/>
          <w:sz w:val="21"/>
          <w:szCs w:val="21"/>
          <w:highlight w:val="none"/>
          <w:lang w:val="en-US" w:eastAsia="zh-CN"/>
        </w:rPr>
        <w:t>在</w:t>
      </w:r>
      <w:r>
        <w:rPr>
          <w:rFonts w:hint="eastAsia" w:ascii="宋体" w:hAnsi="宋体" w:eastAsia="宋体" w:cs="宋体"/>
          <w:color w:val="000000"/>
          <w:sz w:val="21"/>
          <w:szCs w:val="21"/>
          <w:highlight w:val="none"/>
        </w:rPr>
        <w:t>安全生产</w:t>
      </w:r>
      <w:r>
        <w:rPr>
          <w:rFonts w:hint="eastAsia" w:ascii="宋体" w:hAnsi="宋体" w:eastAsia="宋体" w:cs="宋体"/>
          <w:color w:val="000000"/>
          <w:sz w:val="21"/>
          <w:szCs w:val="21"/>
          <w:highlight w:val="none"/>
          <w:lang w:val="en-US" w:eastAsia="zh-CN"/>
        </w:rPr>
        <w:t>方面的</w:t>
      </w:r>
      <w:r>
        <w:rPr>
          <w:rFonts w:hint="eastAsia" w:ascii="宋体" w:hAnsi="宋体" w:eastAsia="宋体" w:cs="宋体"/>
          <w:color w:val="000000"/>
          <w:sz w:val="21"/>
          <w:szCs w:val="21"/>
          <w:highlight w:val="none"/>
        </w:rPr>
        <w:t>管理和检查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针对存在的问题按要求整改到位</w:t>
      </w:r>
      <w:r>
        <w:rPr>
          <w:rFonts w:hint="eastAsia" w:ascii="宋体" w:hAnsi="宋体" w:eastAsia="宋体" w:cs="宋体"/>
          <w:color w:val="000000"/>
          <w:sz w:val="21"/>
          <w:szCs w:val="21"/>
          <w:highlight w:val="none"/>
        </w:rPr>
        <w:t>。</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督促</w:t>
      </w:r>
      <w:r>
        <w:rPr>
          <w:rFonts w:hint="eastAsia" w:ascii="宋体" w:hAnsi="宋体" w:eastAsia="宋体" w:cs="宋体"/>
          <w:color w:val="000000"/>
          <w:sz w:val="21"/>
          <w:szCs w:val="21"/>
          <w:highlight w:val="none"/>
        </w:rPr>
        <w:t>作业人员统一着装上岗，配备环卫作业车辆等工具</w:t>
      </w:r>
      <w:r>
        <w:rPr>
          <w:rFonts w:hint="eastAsia" w:ascii="宋体" w:hAnsi="宋体" w:eastAsia="宋体" w:cs="宋体"/>
          <w:color w:val="000000"/>
          <w:sz w:val="21"/>
          <w:szCs w:val="21"/>
          <w:highlight w:val="none"/>
          <w:lang w:val="en-US" w:eastAsia="zh-CN"/>
        </w:rPr>
        <w:t>设备</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做好</w:t>
      </w:r>
      <w:r>
        <w:rPr>
          <w:rFonts w:hint="eastAsia" w:ascii="宋体" w:hAnsi="宋体" w:eastAsia="宋体" w:cs="宋体"/>
          <w:color w:val="000000"/>
          <w:sz w:val="21"/>
          <w:szCs w:val="21"/>
          <w:highlight w:val="none"/>
        </w:rPr>
        <w:t>作业人员、车辆安全</w:t>
      </w:r>
      <w:r>
        <w:rPr>
          <w:rFonts w:hint="eastAsia" w:ascii="宋体" w:hAnsi="宋体" w:eastAsia="宋体" w:cs="宋体"/>
          <w:color w:val="000000"/>
          <w:sz w:val="21"/>
          <w:szCs w:val="21"/>
          <w:highlight w:val="none"/>
          <w:lang w:val="en-US" w:eastAsia="zh-CN"/>
        </w:rPr>
        <w:t>管理</w:t>
      </w:r>
      <w:r>
        <w:rPr>
          <w:rFonts w:hint="eastAsia" w:ascii="宋体" w:hAnsi="宋体" w:eastAsia="宋体" w:cs="宋体"/>
          <w:color w:val="000000"/>
          <w:sz w:val="21"/>
          <w:szCs w:val="21"/>
          <w:highlight w:val="none"/>
        </w:rPr>
        <w:t>。当乙方作业人员或作业车辆发生意外伤害及劳动纠纷时，由乙方全权负责处理、善后，不得因此损害甲方利益或造成不良社会影响。</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.按照本市、行业的有关规定和甲方的有关要求，发放作业人员的工资和各类津贴、补贴</w:t>
      </w:r>
      <w:r>
        <w:rPr>
          <w:rFonts w:hint="eastAsia" w:ascii="宋体" w:hAnsi="宋体" w:eastAsia="宋体" w:cs="宋体"/>
          <w:bCs/>
          <w:color w:val="000000"/>
          <w:sz w:val="21"/>
          <w:szCs w:val="21"/>
          <w:highlight w:val="none"/>
          <w:lang w:val="en-US" w:eastAsia="zh-CN"/>
        </w:rPr>
        <w:t>等</w:t>
      </w:r>
      <w:r>
        <w:rPr>
          <w:rFonts w:hint="eastAsia" w:ascii="宋体" w:hAnsi="宋体" w:eastAsia="宋体" w:cs="宋体"/>
          <w:bCs/>
          <w:color w:val="000000"/>
          <w:sz w:val="21"/>
          <w:szCs w:val="21"/>
          <w:highlight w:val="none"/>
        </w:rPr>
        <w:t>相关福利，</w:t>
      </w:r>
      <w:r>
        <w:rPr>
          <w:rFonts w:hint="eastAsia" w:ascii="宋体" w:hAnsi="宋体" w:eastAsia="宋体" w:cs="宋体"/>
          <w:bCs/>
          <w:color w:val="000000"/>
          <w:sz w:val="21"/>
          <w:szCs w:val="21"/>
          <w:highlight w:val="none"/>
          <w:lang w:val="en-US" w:eastAsia="zh-CN"/>
        </w:rPr>
        <w:t>对符合条件的人员</w:t>
      </w:r>
      <w:r>
        <w:rPr>
          <w:rFonts w:hint="eastAsia" w:ascii="宋体" w:hAnsi="宋体" w:eastAsia="宋体" w:cs="宋体"/>
          <w:bCs/>
          <w:color w:val="000000"/>
          <w:sz w:val="21"/>
          <w:szCs w:val="21"/>
          <w:highlight w:val="none"/>
        </w:rPr>
        <w:t>足额缴纳社会保险费和住房公积金，切实保障员工权益。乙方与工作人员因工作发生的任何纠纷均应由乙方自行解决，甲方概不负责。若由此给甲方造成损失，乙方应承担全部直接损失及间接损失 （包括但不限于诉讼费、律师费、保全费、差旅费、公告费等）。乙方聘用人员环卫作业时发生的任何安全事故、出行安全及责任事故均由乙方承担、处理，并依法承担一切法律和经济责任。</w:t>
      </w:r>
      <w:r>
        <w:rPr>
          <w:rFonts w:hint="eastAsia" w:ascii="宋体" w:hAnsi="宋体" w:eastAsia="宋体" w:cs="宋体"/>
          <w:color w:val="000000"/>
          <w:sz w:val="21"/>
          <w:szCs w:val="21"/>
          <w:highlight w:val="none"/>
        </w:rPr>
        <w:t>乙方员工发生伤亡或疾病时，由乙方负责妥善处理，并承担全部责任，不得影响甲方正常工作及合同履行。乙方员工与甲方无任何劳务及劳动关系。</w:t>
      </w:r>
    </w:p>
    <w:p>
      <w:pPr>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在保证工作人员人身安全的前提下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根据甲方安排，无条件执行各类特殊情况</w:t>
      </w:r>
      <w:r>
        <w:rPr>
          <w:rFonts w:hint="eastAsia" w:ascii="宋体" w:hAnsi="宋体" w:eastAsia="宋体" w:cs="宋体"/>
          <w:color w:val="000000"/>
          <w:sz w:val="21"/>
          <w:szCs w:val="21"/>
          <w:highlight w:val="none"/>
        </w:rPr>
        <w:t>（重污染天气、灾害天气、疫情防控、重大活动</w:t>
      </w:r>
      <w:r>
        <w:rPr>
          <w:rFonts w:hint="eastAsia" w:ascii="宋体" w:hAnsi="宋体" w:eastAsia="宋体" w:cs="宋体"/>
          <w:color w:val="000000"/>
          <w:sz w:val="21"/>
          <w:szCs w:val="21"/>
          <w:highlight w:val="none"/>
          <w:lang w:val="en-US" w:eastAsia="zh-CN"/>
        </w:rPr>
        <w:t>或检查、</w:t>
      </w:r>
      <w:r>
        <w:rPr>
          <w:rFonts w:hint="eastAsia" w:ascii="宋体" w:hAnsi="宋体" w:eastAsia="宋体" w:cs="宋体"/>
          <w:color w:val="000000"/>
          <w:sz w:val="21"/>
          <w:szCs w:val="21"/>
          <w:highlight w:val="none"/>
        </w:rPr>
        <w:t>大规模污染或垃圾清理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地方政府相关合理的环卫应急工作，</w:t>
      </w:r>
      <w:r>
        <w:rPr>
          <w:rFonts w:hint="eastAsia" w:ascii="宋体" w:hAnsi="宋体" w:eastAsia="宋体" w:cs="宋体"/>
          <w:color w:val="000000"/>
          <w:sz w:val="21"/>
          <w:szCs w:val="21"/>
          <w:highlight w:val="none"/>
        </w:rPr>
        <w:t>以及其他特殊情形）</w:t>
      </w:r>
      <w:r>
        <w:rPr>
          <w:rFonts w:hint="eastAsia" w:ascii="宋体" w:hAnsi="宋体" w:eastAsia="宋体" w:cs="宋体"/>
          <w:color w:val="000000"/>
          <w:sz w:val="21"/>
          <w:szCs w:val="21"/>
          <w:highlight w:val="none"/>
          <w:lang w:val="en-US" w:eastAsia="zh-CN"/>
        </w:rPr>
        <w:t>下的环境卫生应急保障和处置工作</w:t>
      </w:r>
      <w:r>
        <w:rPr>
          <w:rFonts w:hint="eastAsia" w:ascii="宋体" w:hAnsi="宋体" w:eastAsia="宋体" w:cs="宋体"/>
          <w:bCs/>
          <w:color w:val="000000"/>
          <w:sz w:val="21"/>
          <w:szCs w:val="21"/>
          <w:highlight w:val="none"/>
        </w:rPr>
        <w:t>。</w:t>
      </w:r>
    </w:p>
    <w:p>
      <w:pPr>
        <w:keepNext w:val="0"/>
        <w:keepLines w:val="0"/>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7</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承担合同期内服务区域新增的作业量，双方可协商签订补充协议。</w:t>
      </w:r>
    </w:p>
    <w:p>
      <w:pPr>
        <w:keepNext w:val="0"/>
        <w:keepLines w:val="0"/>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outlineLvl w:val="9"/>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w:t>
      </w:r>
      <w:r>
        <w:rPr>
          <w:rFonts w:hint="eastAsia" w:ascii="宋体" w:hAnsi="宋体" w:eastAsia="宋体" w:cs="宋体"/>
          <w:bCs/>
          <w:color w:val="000000"/>
          <w:sz w:val="21"/>
          <w:szCs w:val="21"/>
          <w:highlight w:val="none"/>
        </w:rPr>
        <w:t>.接受社会监督，及时办理服务区域内</w:t>
      </w:r>
      <w:r>
        <w:rPr>
          <w:rFonts w:hint="eastAsia" w:ascii="宋体" w:hAnsi="宋体" w:eastAsia="宋体" w:cs="宋体"/>
          <w:bCs/>
          <w:color w:val="000000"/>
          <w:sz w:val="21"/>
          <w:szCs w:val="21"/>
          <w:highlight w:val="none"/>
          <w:lang w:val="en-US" w:eastAsia="zh-CN"/>
        </w:rPr>
        <w:t>各类环境卫生</w:t>
      </w:r>
      <w:r>
        <w:rPr>
          <w:rFonts w:hint="eastAsia" w:ascii="宋体" w:hAnsi="宋体" w:eastAsia="宋体" w:cs="宋体"/>
          <w:bCs/>
          <w:color w:val="000000"/>
          <w:sz w:val="21"/>
          <w:szCs w:val="21"/>
          <w:highlight w:val="none"/>
        </w:rPr>
        <w:t>群众投诉</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信访</w:t>
      </w:r>
      <w:r>
        <w:rPr>
          <w:rFonts w:hint="eastAsia" w:ascii="宋体" w:hAnsi="宋体" w:eastAsia="宋体" w:cs="宋体"/>
          <w:bCs/>
          <w:color w:val="000000"/>
          <w:sz w:val="21"/>
          <w:szCs w:val="21"/>
          <w:highlight w:val="none"/>
        </w:rPr>
        <w:t>，对市民群众提出的合理诉求，</w:t>
      </w:r>
      <w:r>
        <w:rPr>
          <w:rFonts w:hint="eastAsia" w:ascii="宋体" w:hAnsi="宋体" w:eastAsia="宋体" w:cs="宋体"/>
          <w:bCs/>
          <w:color w:val="000000"/>
          <w:sz w:val="21"/>
          <w:szCs w:val="21"/>
          <w:highlight w:val="none"/>
          <w:lang w:val="en-US" w:eastAsia="zh-CN"/>
        </w:rPr>
        <w:t>在规定时限</w:t>
      </w:r>
      <w:r>
        <w:rPr>
          <w:rFonts w:hint="eastAsia" w:ascii="宋体" w:hAnsi="宋体" w:eastAsia="宋体" w:cs="宋体"/>
          <w:bCs/>
          <w:color w:val="000000"/>
          <w:sz w:val="21"/>
          <w:szCs w:val="21"/>
          <w:highlight w:val="none"/>
        </w:rPr>
        <w:t>内落实相关整改措施</w:t>
      </w:r>
      <w:r>
        <w:rPr>
          <w:rFonts w:hint="eastAsia" w:ascii="宋体" w:hAnsi="宋体" w:eastAsia="宋体" w:cs="宋体"/>
          <w:bCs/>
          <w:color w:val="000000"/>
          <w:sz w:val="21"/>
          <w:szCs w:val="21"/>
          <w:highlight w:val="none"/>
          <w:lang w:val="en-US" w:eastAsia="zh-CN"/>
        </w:rPr>
        <w:t>并</w:t>
      </w:r>
      <w:r>
        <w:rPr>
          <w:rFonts w:hint="eastAsia" w:ascii="宋体" w:hAnsi="宋体" w:eastAsia="宋体" w:cs="宋体"/>
          <w:bCs/>
          <w:color w:val="000000"/>
          <w:sz w:val="21"/>
          <w:szCs w:val="21"/>
          <w:highlight w:val="none"/>
        </w:rPr>
        <w:t>将整改结果报甲方。根据群众诉求改进服务质量，</w:t>
      </w:r>
      <w:r>
        <w:rPr>
          <w:rFonts w:hint="eastAsia" w:ascii="宋体" w:hAnsi="宋体" w:eastAsia="宋体" w:cs="宋体"/>
          <w:bCs/>
          <w:color w:val="000000"/>
          <w:sz w:val="21"/>
          <w:szCs w:val="21"/>
          <w:highlight w:val="none"/>
          <w:lang w:val="en-US" w:eastAsia="zh-CN"/>
        </w:rPr>
        <w:t>减少集中、</w:t>
      </w:r>
      <w:r>
        <w:rPr>
          <w:rFonts w:hint="eastAsia" w:ascii="宋体" w:hAnsi="宋体" w:eastAsia="宋体" w:cs="宋体"/>
          <w:bCs/>
          <w:color w:val="000000"/>
          <w:sz w:val="21"/>
          <w:szCs w:val="21"/>
          <w:highlight w:val="none"/>
        </w:rPr>
        <w:t>重复投诉</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提高满意率。</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9.满足市城市管理部门及甲方的信息化监管要求，落实以下相关措施：</w:t>
      </w:r>
    </w:p>
    <w:p>
      <w:pPr>
        <w:pStyle w:val="5"/>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（1）在所有</w:t>
      </w:r>
      <w:r>
        <w:rPr>
          <w:rFonts w:hint="eastAsia" w:ascii="宋体" w:hAnsi="宋体" w:cs="宋体"/>
          <w:color w:val="auto"/>
          <w:sz w:val="21"/>
          <w:szCs w:val="21"/>
          <w:highlight w:val="none"/>
          <w:u w:val="none"/>
        </w:rPr>
        <w:t>投入的</w:t>
      </w:r>
      <w:r>
        <w:rPr>
          <w:rFonts w:hint="eastAsia" w:ascii="宋体" w:hAnsi="宋体" w:cs="宋体"/>
          <w:color w:val="auto"/>
          <w:sz w:val="21"/>
          <w:szCs w:val="21"/>
          <w:highlight w:val="none"/>
          <w:u w:val="none"/>
          <w:lang w:val="en-US" w:eastAsia="zh-CN"/>
        </w:rPr>
        <w:t>环卫设施、车辆安装前端物联设备，所有环卫作业人员安装环卫信息化手机APP或配备电子工牌、手环，采集定位、轨迹等作业数据，并对接至环卫信息化平台</w:t>
      </w:r>
      <w:r>
        <w:rPr>
          <w:rFonts w:hint="eastAsia" w:ascii="宋体" w:hAnsi="宋体" w:cs="宋体"/>
          <w:color w:val="auto"/>
          <w:sz w:val="21"/>
          <w:szCs w:val="21"/>
          <w:highlight w:val="none"/>
          <w:u w:val="none"/>
        </w:rPr>
        <w:t>。</w:t>
      </w:r>
    </w:p>
    <w:p>
      <w:pPr>
        <w:pStyle w:val="5"/>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做好相关信息化设备维护，保持功能完好、数据传输畅通，确保清扫、收运、设施运维等信息化作业数据符合市、区环卫作业规范标准。</w:t>
      </w:r>
    </w:p>
    <w:p>
      <w:pPr>
        <w:pStyle w:val="5"/>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highlight w:val="none"/>
        </w:rPr>
      </w:pPr>
      <w:r>
        <w:rPr>
          <w:rFonts w:hint="eastAsia" w:ascii="宋体" w:hAnsi="宋体" w:cs="宋体"/>
          <w:color w:val="auto"/>
          <w:sz w:val="21"/>
          <w:szCs w:val="21"/>
          <w:highlight w:val="none"/>
          <w:u w:val="none"/>
          <w:lang w:val="en-US" w:eastAsia="zh-CN"/>
        </w:rPr>
        <w:t>（3）在环卫信息化平台维护企业服务合同、区域、车辆、人员、排班等各类基础业务数据，保持数据真实、准确、动态更新。</w:t>
      </w:r>
    </w:p>
    <w:p>
      <w:pPr>
        <w:keepNext w:val="0"/>
        <w:keepLines w:val="0"/>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.按时参加甲方</w:t>
      </w:r>
      <w:r>
        <w:rPr>
          <w:rFonts w:hint="eastAsia" w:ascii="宋体" w:hAnsi="宋体" w:eastAsia="宋体" w:cs="宋体"/>
          <w:bCs/>
          <w:color w:val="000000"/>
          <w:sz w:val="21"/>
          <w:szCs w:val="21"/>
          <w:highlight w:val="none"/>
          <w:lang w:val="en-US" w:eastAsia="zh-CN"/>
        </w:rPr>
        <w:t>和</w:t>
      </w:r>
      <w:r>
        <w:rPr>
          <w:rFonts w:hint="eastAsia" w:ascii="宋体" w:hAnsi="宋体" w:eastAsia="宋体" w:cs="宋体"/>
          <w:bCs/>
          <w:color w:val="000000"/>
          <w:sz w:val="21"/>
          <w:szCs w:val="21"/>
          <w:highlight w:val="none"/>
        </w:rPr>
        <w:t>行业主管部门召开的会议。</w:t>
      </w:r>
    </w:p>
    <w:p>
      <w:pPr>
        <w:keepNext w:val="0"/>
        <w:keepLines w:val="0"/>
        <w:pageBreakBefore w:val="0"/>
        <w:widowControl w:val="0"/>
        <w:tabs>
          <w:tab w:val="left" w:pos="1170"/>
        </w:tabs>
        <w:kinsoku/>
        <w:wordWrap/>
        <w:overflowPunct/>
        <w:topLinePunct w:val="0"/>
        <w:autoSpaceDE/>
        <w:autoSpaceDN/>
        <w:bidi w:val="0"/>
        <w:adjustRightInd w:val="0"/>
        <w:snapToGrid w:val="0"/>
        <w:spacing w:line="440" w:lineRule="exact"/>
        <w:ind w:firstLine="420" w:firstLineChars="200"/>
        <w:textAlignment w:val="baseline"/>
        <w:outlineLvl w:val="9"/>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11</w:t>
      </w:r>
      <w:r>
        <w:rPr>
          <w:rFonts w:hint="eastAsia" w:ascii="宋体" w:hAnsi="宋体" w:eastAsia="宋体" w:cs="宋体"/>
          <w:bCs/>
          <w:color w:val="000000"/>
          <w:sz w:val="21"/>
          <w:szCs w:val="21"/>
          <w:highlight w:val="none"/>
        </w:rPr>
        <w:t>.更改联系方式或其他信息时应及时告知甲方。</w:t>
      </w:r>
    </w:p>
    <w:p>
      <w:pPr>
        <w:keepNext w:val="0"/>
        <w:keepLines w:val="0"/>
        <w:pageBreakBefore w:val="0"/>
        <w:widowControl w:val="0"/>
        <w:kinsoku/>
        <w:wordWrap/>
        <w:overflowPunct/>
        <w:topLinePunct w:val="0"/>
        <w:autoSpaceDE/>
        <w:autoSpaceDN/>
        <w:bidi w:val="0"/>
        <w:spacing w:line="440" w:lineRule="exact"/>
        <w:ind w:firstLine="420" w:firstLineChars="200"/>
        <w:outlineLvl w:val="9"/>
        <w:rPr>
          <w:rFonts w:hint="eastAsia" w:ascii="宋体" w:hAnsi="宋体" w:eastAsia="宋体" w:cs="宋体"/>
          <w:color w:val="000000"/>
          <w:kern w:val="0"/>
          <w:sz w:val="21"/>
          <w:szCs w:val="21"/>
          <w:highlight w:val="none"/>
          <w:u w:val="singl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rPr>
        <w:t>.</w:t>
      </w:r>
      <w:r>
        <w:rPr>
          <w:rFonts w:hint="eastAsia" w:ascii="宋体" w:hAnsi="宋体" w:eastAsia="宋体" w:cs="宋体"/>
          <w:color w:val="000000"/>
          <w:kern w:val="0"/>
          <w:sz w:val="21"/>
          <w:szCs w:val="21"/>
          <w:highlight w:val="none"/>
        </w:rPr>
        <w:t>其他权利及义务（如有，请补充）</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Chars="200"/>
        <w:textAlignment w:val="auto"/>
        <w:rPr>
          <w:rFonts w:hint="eastAsia" w:ascii="宋体" w:hAnsi="宋体" w:eastAsia="宋体" w:cs="宋体"/>
          <w:b/>
          <w:bCs/>
          <w:color w:val="000000"/>
          <w:sz w:val="21"/>
          <w:szCs w:val="21"/>
          <w:highlight w:val="none"/>
          <w:u w:val="none"/>
        </w:rPr>
      </w:pPr>
      <w:r>
        <w:rPr>
          <w:rFonts w:hint="eastAsia" w:ascii="宋体" w:hAnsi="宋体" w:cs="宋体"/>
          <w:b/>
          <w:bCs/>
          <w:i w:val="0"/>
          <w:iCs w:val="0"/>
          <w:sz w:val="21"/>
          <w:szCs w:val="21"/>
          <w:highlight w:val="none"/>
          <w:u w:val="none"/>
          <w:lang w:val="en-US" w:eastAsia="zh-CN"/>
        </w:rPr>
        <w:t>注：甲乙双方可根据项目实际情况和研究协商结果，适当增减上述权利和义务。</w:t>
      </w:r>
    </w:p>
    <w:p>
      <w:pPr>
        <w:pStyle w:val="4"/>
        <w:keepNext/>
        <w:keepLines/>
        <w:pageBreakBefore w:val="0"/>
        <w:widowControl w:val="0"/>
        <w:kinsoku/>
        <w:wordWrap/>
        <w:overflowPunct/>
        <w:topLinePunct w:val="0"/>
        <w:autoSpaceDE/>
        <w:autoSpaceDN/>
        <w:bidi w:val="0"/>
        <w:adjustRightInd/>
        <w:snapToGrid/>
        <w:spacing w:line="440" w:lineRule="exact"/>
        <w:ind w:firstLine="421" w:firstLineChars="200"/>
        <w:jc w:val="both"/>
        <w:textAlignment w:val="auto"/>
        <w:rPr>
          <w:rFonts w:hint="eastAsia" w:ascii="宋体" w:hAnsi="宋体" w:eastAsia="宋体" w:cs="宋体"/>
          <w:b/>
          <w:bCs/>
          <w:sz w:val="21"/>
          <w:szCs w:val="21"/>
          <w:highlight w:val="none"/>
        </w:rPr>
      </w:pPr>
      <w:bookmarkStart w:id="7" w:name="_Toc27917"/>
      <w:r>
        <w:rPr>
          <w:rFonts w:hint="eastAsia" w:ascii="宋体" w:hAnsi="宋体" w:eastAsia="宋体" w:cs="宋体"/>
          <w:b/>
          <w:bCs/>
          <w:sz w:val="21"/>
          <w:szCs w:val="21"/>
          <w:highlight w:val="none"/>
        </w:rPr>
        <w:t>八、</w:t>
      </w:r>
      <w:r>
        <w:rPr>
          <w:rFonts w:hint="eastAsia" w:ascii="宋体" w:hAnsi="宋体" w:eastAsia="宋体" w:cs="宋体"/>
          <w:b/>
          <w:bCs/>
          <w:sz w:val="21"/>
          <w:szCs w:val="21"/>
          <w:highlight w:val="none"/>
          <w:lang w:val="en-US" w:eastAsia="zh-CN"/>
        </w:rPr>
        <w:t>合同金额</w:t>
      </w:r>
      <w:r>
        <w:rPr>
          <w:rFonts w:hint="eastAsia" w:ascii="宋体" w:hAnsi="宋体" w:eastAsia="宋体" w:cs="宋体"/>
          <w:b/>
          <w:bCs/>
          <w:sz w:val="21"/>
          <w:szCs w:val="21"/>
          <w:highlight w:val="none"/>
        </w:rPr>
        <w:t>与支付</w:t>
      </w:r>
      <w:bookmarkEnd w:id="7"/>
    </w:p>
    <w:p>
      <w:pPr>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合同总金额为</w:t>
      </w:r>
      <w:r>
        <w:rPr>
          <w:rFonts w:hint="eastAsia" w:ascii="宋体" w:hAnsi="宋体" w:eastAsia="宋体" w:cs="宋体"/>
          <w:color w:val="FF0000"/>
          <w:sz w:val="21"/>
          <w:szCs w:val="21"/>
          <w:highlight w:val="none"/>
          <w:u w:val="single"/>
        </w:rPr>
        <w:t>（人民币）小写X元，</w:t>
      </w:r>
      <w:r>
        <w:rPr>
          <w:rFonts w:hint="eastAsia" w:ascii="宋体" w:hAnsi="宋体" w:eastAsia="宋体" w:cs="宋体"/>
          <w:color w:val="FF0000"/>
          <w:sz w:val="21"/>
          <w:szCs w:val="21"/>
          <w:highlight w:val="none"/>
        </w:rPr>
        <w:t>大写：</w:t>
      </w:r>
      <w:r>
        <w:rPr>
          <w:rFonts w:hint="eastAsia" w:ascii="宋体" w:hAnsi="宋体" w:eastAsia="宋体" w:cs="宋体"/>
          <w:color w:val="FF0000"/>
          <w:sz w:val="21"/>
          <w:szCs w:val="21"/>
          <w:highlight w:val="none"/>
          <w:u w:val="single"/>
        </w:rPr>
        <w:t xml:space="preserve">X </w:t>
      </w:r>
      <w:r>
        <w:rPr>
          <w:rFonts w:hint="eastAsia" w:ascii="宋体" w:hAnsi="宋体" w:eastAsia="宋体" w:cs="宋体"/>
          <w:color w:val="FF0000"/>
          <w:sz w:val="21"/>
          <w:szCs w:val="21"/>
          <w:highlight w:val="none"/>
        </w:rPr>
        <w:t>。)</w:t>
      </w:r>
      <w:r>
        <w:rPr>
          <w:rFonts w:hint="eastAsia" w:ascii="宋体" w:hAnsi="宋体" w:eastAsia="宋体" w:cs="宋体"/>
          <w:color w:val="000000"/>
          <w:sz w:val="21"/>
          <w:szCs w:val="21"/>
          <w:highlight w:val="none"/>
        </w:rPr>
        <w:t xml:space="preserve"> (具体费用按作业服务实际发生量(包括作业面积以及作业质量等) 最终结算)具体见下方表格，按</w:t>
      </w:r>
      <w:r>
        <w:rPr>
          <w:rFonts w:hint="eastAsia" w:ascii="宋体" w:hAnsi="宋体" w:eastAsia="宋体" w:cs="宋体"/>
          <w:color w:val="FF0000"/>
          <w:sz w:val="21"/>
          <w:szCs w:val="21"/>
          <w:highlight w:val="none"/>
          <w:u w:val="single"/>
        </w:rPr>
        <w:t>月（或季度）</w:t>
      </w:r>
      <w:r>
        <w:rPr>
          <w:rFonts w:hint="eastAsia" w:ascii="宋体" w:hAnsi="宋体" w:eastAsia="宋体" w:cs="宋体"/>
          <w:color w:val="000000"/>
          <w:sz w:val="21"/>
          <w:szCs w:val="21"/>
          <w:highlight w:val="none"/>
        </w:rPr>
        <w:t>支付，每</w:t>
      </w:r>
      <w:r>
        <w:rPr>
          <w:rFonts w:hint="eastAsia" w:ascii="宋体" w:hAnsi="宋体" w:eastAsia="宋体" w:cs="宋体"/>
          <w:color w:val="FF0000"/>
          <w:sz w:val="21"/>
          <w:szCs w:val="21"/>
          <w:highlight w:val="none"/>
          <w:u w:val="single"/>
        </w:rPr>
        <w:t>季度</w:t>
      </w:r>
      <w:r>
        <w:rPr>
          <w:rFonts w:hint="eastAsia" w:ascii="宋体" w:hAnsi="宋体" w:eastAsia="宋体" w:cs="宋体"/>
          <w:color w:val="000000"/>
          <w:sz w:val="21"/>
          <w:szCs w:val="21"/>
          <w:highlight w:val="none"/>
        </w:rPr>
        <w:t>实际支付费用与</w:t>
      </w:r>
      <w:r>
        <w:rPr>
          <w:rFonts w:hint="eastAsia" w:ascii="宋体" w:hAnsi="宋体" w:eastAsia="宋体" w:cs="宋体"/>
          <w:color w:val="FF0000"/>
          <w:sz w:val="21"/>
          <w:szCs w:val="21"/>
          <w:highlight w:val="none"/>
          <w:u w:val="single"/>
        </w:rPr>
        <w:t>月</w:t>
      </w:r>
      <w:r>
        <w:rPr>
          <w:rFonts w:hint="eastAsia" w:ascii="宋体" w:hAnsi="宋体" w:eastAsia="宋体" w:cs="宋体"/>
          <w:color w:val="000000"/>
          <w:sz w:val="21"/>
          <w:szCs w:val="21"/>
          <w:highlight w:val="none"/>
        </w:rPr>
        <w:t>考核结果相挂钩。</w:t>
      </w:r>
    </w:p>
    <w:tbl>
      <w:tblPr>
        <w:tblStyle w:val="13"/>
        <w:tblW w:w="8219"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800"/>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13"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2800"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合同总金额（元）</w:t>
            </w:r>
          </w:p>
        </w:tc>
        <w:tc>
          <w:tcPr>
            <w:tcW w:w="3106" w:type="dxa"/>
            <w:vAlign w:val="center"/>
          </w:tcPr>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每月度（季度）实付金额（元）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13"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p>
        </w:tc>
        <w:tc>
          <w:tcPr>
            <w:tcW w:w="2800"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p>
        </w:tc>
        <w:tc>
          <w:tcPr>
            <w:tcW w:w="3106" w:type="dxa"/>
            <w:vAlign w:val="center"/>
          </w:tcPr>
          <w:p>
            <w:pPr>
              <w:widowControl/>
              <w:spacing w:line="44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313"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p>
        </w:tc>
        <w:tc>
          <w:tcPr>
            <w:tcW w:w="2800"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p>
        </w:tc>
        <w:tc>
          <w:tcPr>
            <w:tcW w:w="3106" w:type="dxa"/>
            <w:vAlign w:val="center"/>
          </w:tcPr>
          <w:p>
            <w:pPr>
              <w:widowControl/>
              <w:spacing w:line="44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13"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800" w:type="dxa"/>
            <w:vAlign w:val="center"/>
          </w:tcPr>
          <w:p>
            <w:pPr>
              <w:tabs>
                <w:tab w:val="left" w:pos="1170"/>
              </w:tabs>
              <w:adjustRightInd w:val="0"/>
              <w:snapToGrid w:val="0"/>
              <w:spacing w:line="440" w:lineRule="exact"/>
              <w:jc w:val="center"/>
              <w:textAlignment w:val="baseline"/>
              <w:rPr>
                <w:rFonts w:hint="eastAsia" w:ascii="宋体" w:hAnsi="宋体" w:eastAsia="宋体" w:cs="宋体"/>
                <w:sz w:val="21"/>
                <w:szCs w:val="21"/>
                <w:highlight w:val="none"/>
              </w:rPr>
            </w:pPr>
          </w:p>
        </w:tc>
        <w:tc>
          <w:tcPr>
            <w:tcW w:w="3106" w:type="dxa"/>
            <w:vAlign w:val="center"/>
          </w:tcPr>
          <w:p>
            <w:pPr>
              <w:widowControl/>
              <w:spacing w:line="440" w:lineRule="exact"/>
              <w:jc w:val="center"/>
              <w:rPr>
                <w:rFonts w:hint="eastAsia" w:ascii="宋体" w:hAnsi="宋体" w:eastAsia="宋体" w:cs="宋体"/>
                <w:sz w:val="21"/>
                <w:szCs w:val="21"/>
                <w:highlight w:val="none"/>
              </w:rPr>
            </w:pPr>
          </w:p>
        </w:tc>
      </w:tr>
    </w:tbl>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2.付款方式：</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（1）付款时间：甲方根据当</w:t>
      </w:r>
      <w:r>
        <w:rPr>
          <w:rFonts w:hint="eastAsia" w:ascii="宋体" w:hAnsi="宋体" w:eastAsia="宋体" w:cs="宋体"/>
          <w:bCs/>
          <w:color w:val="FF0000"/>
          <w:sz w:val="21"/>
          <w:szCs w:val="21"/>
          <w:highlight w:val="none"/>
          <w:u w:val="single"/>
        </w:rPr>
        <w:t>月（或当季度）</w:t>
      </w:r>
      <w:r>
        <w:rPr>
          <w:rFonts w:hint="eastAsia" w:ascii="宋体" w:hAnsi="宋体" w:eastAsia="宋体" w:cs="宋体"/>
          <w:bCs/>
          <w:color w:val="000000"/>
          <w:sz w:val="21"/>
          <w:szCs w:val="21"/>
          <w:highlight w:val="none"/>
        </w:rPr>
        <w:t>相关检查考核结果和</w:t>
      </w:r>
      <w:r>
        <w:rPr>
          <w:rFonts w:hint="eastAsia" w:ascii="宋体" w:hAnsi="宋体" w:eastAsia="宋体" w:cs="宋体"/>
          <w:bCs/>
          <w:color w:val="000000"/>
          <w:sz w:val="21"/>
          <w:szCs w:val="21"/>
          <w:highlight w:val="none"/>
          <w:lang w:val="en-US" w:eastAsia="zh-CN"/>
        </w:rPr>
        <w:t>奖惩措施规定</w:t>
      </w:r>
      <w:r>
        <w:rPr>
          <w:rFonts w:hint="eastAsia" w:ascii="宋体" w:hAnsi="宋体" w:eastAsia="宋体" w:cs="宋体"/>
          <w:bCs/>
          <w:color w:val="000000"/>
          <w:sz w:val="21"/>
          <w:szCs w:val="21"/>
          <w:highlight w:val="none"/>
        </w:rPr>
        <w:t>，于下月</w:t>
      </w:r>
      <w:r>
        <w:rPr>
          <w:rFonts w:hint="eastAsia" w:ascii="宋体" w:hAnsi="宋体" w:eastAsia="宋体" w:cs="宋体"/>
          <w:bCs/>
          <w:color w:val="000000"/>
          <w:sz w:val="21"/>
          <w:szCs w:val="21"/>
          <w:highlight w:val="none"/>
          <w:lang w:val="en-US" w:eastAsia="zh-CN"/>
        </w:rPr>
        <w:t>(下季度）____</w:t>
      </w:r>
      <w:r>
        <w:rPr>
          <w:rFonts w:hint="eastAsia" w:ascii="宋体" w:hAnsi="宋体" w:eastAsia="宋体" w:cs="宋体"/>
          <w:bCs/>
          <w:color w:val="000000"/>
          <w:sz w:val="21"/>
          <w:szCs w:val="21"/>
          <w:highlight w:val="none"/>
        </w:rPr>
        <w:t>日之前，向</w:t>
      </w:r>
      <w:r>
        <w:rPr>
          <w:rFonts w:hint="eastAsia" w:ascii="宋体" w:hAnsi="宋体" w:eastAsia="宋体" w:cs="宋体"/>
          <w:color w:val="000000"/>
          <w:sz w:val="21"/>
          <w:szCs w:val="21"/>
          <w:highlight w:val="none"/>
        </w:rPr>
        <w:t>乙方支付上个月服务费用。</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（2）付款方式：以转账方式直接转入乙方银行账户。</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（3）转账信息：</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（4）其他付款方式（如有，请补充）</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（5）甲方支付费用前，乙方应向甲方提交等额有效的发票(由甲方决定是增值税普通发票亦或增值税专用发票):若乙方延迟交付发票，则甲方有权顺延付款。</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8" w:name="_Toc19959"/>
      <w:r>
        <w:rPr>
          <w:rFonts w:hint="eastAsia" w:ascii="宋体" w:hAnsi="宋体" w:eastAsia="宋体" w:cs="宋体"/>
          <w:b/>
          <w:bCs/>
          <w:sz w:val="21"/>
          <w:szCs w:val="21"/>
          <w:highlight w:val="none"/>
        </w:rPr>
        <w:t>九、违约责任</w:t>
      </w:r>
      <w:bookmarkEnd w:id="8"/>
      <w:r>
        <w:rPr>
          <w:rFonts w:hint="eastAsia" w:ascii="宋体" w:hAnsi="宋体" w:eastAsia="宋体" w:cs="宋体"/>
          <w:b/>
          <w:bCs/>
          <w:sz w:val="21"/>
          <w:szCs w:val="21"/>
          <w:highlight w:val="none"/>
        </w:rPr>
        <w:t xml:space="preserve">  </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1.合同一方不履行合同义务或违反履行合同义务约定的，应当承担继续履行、采取补救措施或者赔偿损失等违约责任。</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2.合同生效后，</w:t>
      </w:r>
      <w:r>
        <w:rPr>
          <w:rFonts w:hint="eastAsia" w:ascii="宋体" w:hAnsi="宋体" w:eastAsia="宋体" w:cs="宋体"/>
          <w:bCs/>
          <w:color w:val="000000"/>
          <w:sz w:val="21"/>
          <w:szCs w:val="21"/>
          <w:highlight w:val="none"/>
        </w:rPr>
        <w:t>甲方无故拒绝</w:t>
      </w:r>
      <w:r>
        <w:rPr>
          <w:rFonts w:hint="eastAsia" w:ascii="宋体" w:hAnsi="宋体" w:eastAsia="宋体" w:cs="宋体"/>
          <w:color w:val="000000"/>
          <w:sz w:val="21"/>
          <w:szCs w:val="21"/>
          <w:highlight w:val="none"/>
        </w:rPr>
        <w:t>乙方政策开展服务工作的，应向乙方偿付合同总金额的</w:t>
      </w:r>
      <w:r>
        <w:rPr>
          <w:rFonts w:hint="eastAsia" w:ascii="宋体" w:hAnsi="宋体" w:eastAsia="宋体" w:cs="宋体"/>
          <w:color w:val="000000"/>
          <w:sz w:val="21"/>
          <w:szCs w:val="21"/>
          <w:highlight w:val="none"/>
          <w:lang w:val="en-US" w:eastAsia="zh-CN"/>
        </w:rPr>
        <w:t>__%</w:t>
      </w:r>
      <w:r>
        <w:rPr>
          <w:rFonts w:hint="eastAsia" w:ascii="宋体" w:hAnsi="宋体" w:eastAsia="宋体" w:cs="宋体"/>
          <w:color w:val="000000"/>
          <w:sz w:val="21"/>
          <w:szCs w:val="21"/>
          <w:highlight w:val="none"/>
        </w:rPr>
        <w:t>，作为违约金，违约金不足以补偿损失的，乙方有权要求</w:t>
      </w:r>
      <w:r>
        <w:rPr>
          <w:rFonts w:hint="eastAsia" w:ascii="宋体" w:hAnsi="宋体" w:eastAsia="宋体" w:cs="宋体"/>
          <w:bCs/>
          <w:color w:val="000000"/>
          <w:sz w:val="21"/>
          <w:szCs w:val="21"/>
          <w:highlight w:val="none"/>
        </w:rPr>
        <w:t>甲方补足。</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3.乙方违反合同所规定的内容、投标文件承诺或未达到的甲方的要求，乙方应给予甲方相应的赔偿，赔偿标准按双方约定的考核办法执行。甲方有权要求乙方限期改正，如逾期不改，乙方应向甲方支付合同总金额</w:t>
      </w:r>
      <w:r>
        <w:rPr>
          <w:rFonts w:hint="eastAsia" w:ascii="宋体" w:hAnsi="宋体" w:eastAsia="宋体" w:cs="宋体"/>
          <w:color w:val="000000"/>
          <w:kern w:val="0"/>
          <w:sz w:val="21"/>
          <w:szCs w:val="21"/>
          <w:highlight w:val="none"/>
          <w:u w:val="single"/>
        </w:rPr>
        <w:t>5 %</w:t>
      </w:r>
      <w:r>
        <w:rPr>
          <w:rFonts w:hint="eastAsia" w:ascii="宋体" w:hAnsi="宋体" w:eastAsia="宋体" w:cs="宋体"/>
          <w:color w:val="000000"/>
          <w:kern w:val="0"/>
          <w:sz w:val="21"/>
          <w:szCs w:val="21"/>
          <w:highlight w:val="none"/>
        </w:rPr>
        <w:t>的违约金，且甲方有权解除本合同，另行委托其它第三方替代，且甲方有权要求乙方赔偿因此造成的所有损失 (包括但不限于律师费、另行委托增加的费用、诉讼费、差旅费等直接损失及间接损失)。</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未经甲方的书面同意，乙方不得部分转让或全部转让其所享有的合同权利或应履行的合同义务，且未经甲方事先书面同意，乙方不得将本合同服务内容分包给其他第三方完成，否则，乙方应向甲方支付合同总金额</w:t>
      </w:r>
      <w:r>
        <w:rPr>
          <w:rFonts w:hint="eastAsia" w:ascii="宋体" w:hAnsi="宋体" w:eastAsia="宋体" w:cs="宋体"/>
          <w:color w:val="000000"/>
          <w:kern w:val="0"/>
          <w:sz w:val="21"/>
          <w:szCs w:val="21"/>
          <w:highlight w:val="none"/>
          <w:u w:val="single"/>
        </w:rPr>
        <w:t xml:space="preserve"> 5 %</w:t>
      </w:r>
      <w:r>
        <w:rPr>
          <w:rFonts w:hint="eastAsia" w:ascii="宋体" w:hAnsi="宋体" w:eastAsia="宋体" w:cs="宋体"/>
          <w:color w:val="000000"/>
          <w:kern w:val="0"/>
          <w:sz w:val="21"/>
          <w:szCs w:val="21"/>
          <w:highlight w:val="none"/>
        </w:rPr>
        <w:t>的违约金，且甲方有权解除本合同，并要求乙方赔偿因此造成的所有损失（包括但不限于律师费、另行委托增加的费用诉讼费、差旅费等直接损失及间接损失）。</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9" w:name="_Toc30694"/>
      <w:r>
        <w:rPr>
          <w:rFonts w:hint="eastAsia" w:ascii="宋体" w:hAnsi="宋体" w:eastAsia="宋体" w:cs="宋体"/>
          <w:b/>
          <w:bCs/>
          <w:sz w:val="21"/>
          <w:szCs w:val="21"/>
          <w:highlight w:val="none"/>
        </w:rPr>
        <w:t>十、不可抗力</w:t>
      </w:r>
      <w:bookmarkEnd w:id="9"/>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因不可抗力（战争、政策、严重火灾、水灾、台风、地震、疫情以及其他不能预见并对其发生和后果不能预防、不能克服或避免的情形）不能履行合同的，根据不可抗力的影响，可部分或全部免除责任。但在不可抗力发生期间及结束之后在合同的履行仍有意义时，受影响的一方仍应在可能的范围内履行己方的义务，最大限度地</w:t>
      </w:r>
      <w:r>
        <w:rPr>
          <w:rFonts w:hint="eastAsia" w:ascii="宋体" w:hAnsi="宋体" w:eastAsia="宋体" w:cs="宋体"/>
          <w:color w:val="000000"/>
          <w:kern w:val="0"/>
          <w:sz w:val="21"/>
          <w:szCs w:val="21"/>
          <w:highlight w:val="none"/>
          <w:lang w:val="en-US" w:eastAsia="zh-CN"/>
        </w:rPr>
        <w:t>减少</w:t>
      </w:r>
      <w:r>
        <w:rPr>
          <w:rFonts w:hint="eastAsia" w:ascii="宋体" w:hAnsi="宋体" w:eastAsia="宋体" w:cs="宋体"/>
          <w:color w:val="000000"/>
          <w:kern w:val="0"/>
          <w:sz w:val="21"/>
          <w:szCs w:val="21"/>
          <w:highlight w:val="none"/>
        </w:rPr>
        <w:t>损失的发生。</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2.合同一方因不可抗力不能履行合同的，应当以书面形式及时（</w:t>
      </w:r>
      <w:r>
        <w:rPr>
          <w:rFonts w:hint="eastAsia" w:ascii="宋体" w:hAnsi="宋体" w:eastAsia="宋体" w:cs="宋体"/>
          <w:color w:val="FF0000"/>
          <w:kern w:val="0"/>
          <w:sz w:val="21"/>
          <w:szCs w:val="21"/>
          <w:highlight w:val="none"/>
          <w:u w:val="single"/>
        </w:rPr>
        <w:t>7</w:t>
      </w:r>
      <w:r>
        <w:rPr>
          <w:rFonts w:hint="eastAsia" w:ascii="宋体" w:hAnsi="宋体" w:eastAsia="宋体" w:cs="宋体"/>
          <w:color w:val="000000"/>
          <w:kern w:val="0"/>
          <w:sz w:val="21"/>
          <w:szCs w:val="21"/>
          <w:highlight w:val="none"/>
        </w:rPr>
        <w:t>个工作日内）通知对方，以减轻可能给对方造成损失，并应当在合理期限内提供证明。</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3.一方迟延履行后发生不可抗力的，仍应承担违约责任。</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10" w:name="_Toc30148"/>
      <w:r>
        <w:rPr>
          <w:rFonts w:hint="eastAsia" w:ascii="宋体" w:hAnsi="宋体" w:eastAsia="宋体" w:cs="宋体"/>
          <w:b/>
          <w:bCs/>
          <w:sz w:val="21"/>
          <w:szCs w:val="21"/>
          <w:highlight w:val="none"/>
        </w:rPr>
        <w:t>十一、合同的解除</w:t>
      </w:r>
      <w:bookmarkEnd w:id="10"/>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1.甲方和乙方协商一致后，可以解除合同。合同任何一方提前解除或者终止合同的，应提前</w:t>
      </w:r>
      <w:r>
        <w:rPr>
          <w:rFonts w:hint="eastAsia" w:ascii="宋体" w:hAnsi="宋体" w:eastAsia="宋体" w:cs="宋体"/>
          <w:color w:val="FF0000"/>
          <w:kern w:val="0"/>
          <w:sz w:val="21"/>
          <w:szCs w:val="21"/>
          <w:highlight w:val="none"/>
          <w:u w:val="single"/>
        </w:rPr>
        <w:t>30</w:t>
      </w:r>
      <w:r>
        <w:rPr>
          <w:rFonts w:hint="eastAsia" w:ascii="宋体" w:hAnsi="宋体" w:eastAsia="宋体" w:cs="宋体"/>
          <w:color w:val="000000"/>
          <w:kern w:val="0"/>
          <w:sz w:val="21"/>
          <w:szCs w:val="21"/>
          <w:highlight w:val="none"/>
        </w:rPr>
        <w:t>天以书面形式告知另外一方。未提前通知，应向另一方支付合同金额的</w:t>
      </w:r>
      <w:r>
        <w:rPr>
          <w:rFonts w:hint="eastAsia" w:ascii="宋体" w:hAnsi="宋体" w:eastAsia="宋体" w:cs="宋体"/>
          <w:color w:val="FF0000"/>
          <w:kern w:val="0"/>
          <w:sz w:val="21"/>
          <w:szCs w:val="21"/>
          <w:highlight w:val="none"/>
          <w:u w:val="single"/>
        </w:rPr>
        <w:t xml:space="preserve"> 5% </w:t>
      </w:r>
      <w:r>
        <w:rPr>
          <w:rFonts w:hint="eastAsia" w:ascii="宋体" w:hAnsi="宋体" w:eastAsia="宋体" w:cs="宋体"/>
          <w:color w:val="000000"/>
          <w:kern w:val="0"/>
          <w:sz w:val="21"/>
          <w:szCs w:val="21"/>
          <w:highlight w:val="none"/>
        </w:rPr>
        <w:t>作为违约金。在合同履约过程中任何一方擅自撤销合同，应赔偿另一方由此造成的经济损失，赔偿额根据另一方实际损失确定。</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2.有下列情况之一，甲方可单方面解除合同且不承担任何违约责任，并可依法依规追究乙方相关责任：</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本合同“十五、考评奖惩措施”中关于甲方有权终止合同的相关条款。</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）乙方不遵守本</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规定</w:t>
      </w:r>
      <w:r>
        <w:rPr>
          <w:rFonts w:hint="eastAsia" w:ascii="宋体" w:hAnsi="宋体" w:eastAsia="宋体" w:cs="宋体"/>
          <w:color w:val="000000"/>
          <w:sz w:val="21"/>
          <w:szCs w:val="21"/>
          <w:highlight w:val="none"/>
          <w:lang w:val="en-US" w:eastAsia="zh-CN"/>
        </w:rPr>
        <w:t>的相关</w:t>
      </w:r>
      <w:r>
        <w:rPr>
          <w:rFonts w:hint="eastAsia" w:ascii="宋体" w:hAnsi="宋体" w:eastAsia="宋体" w:cs="宋体"/>
          <w:color w:val="000000"/>
          <w:sz w:val="21"/>
          <w:szCs w:val="21"/>
          <w:highlight w:val="none"/>
        </w:rPr>
        <w:t>责任和义务;</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）本合同未尽事宜和新增内容由甲乙双方协商解决，并另行签署补充协议。补充协议与原合同具有同等法律效力，补充协议与原合同约定不一致的地方，以补充协议为准。</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）其他情况（如有，请补充）</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11" w:name="_Toc9243"/>
      <w:r>
        <w:rPr>
          <w:rFonts w:hint="eastAsia" w:ascii="宋体" w:hAnsi="宋体" w:eastAsia="宋体" w:cs="宋体"/>
          <w:b/>
          <w:bCs/>
          <w:sz w:val="21"/>
          <w:szCs w:val="21"/>
          <w:highlight w:val="none"/>
        </w:rPr>
        <w:t>十二、合同的生效、变更、续签与终止</w:t>
      </w:r>
      <w:bookmarkEnd w:id="11"/>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(一)本合同自签订之日起生效，合同期满自行终止。</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1．本合同生效后即具有法律效力，甲、乙双方均不得无故变更或解除。</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2．在合同有效期内，经双方协商一致需要变更或解除本合同时在新的书面协议未达成之前，本合同依然有效，双方应全面履行。</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3.因违约解除本合同，在过渡期内乙方应保持作业人员稳定，不得降低服务质量。</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4.双方在签订本合同时，应当核实相应资质证明文件。</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5.本合同因下列原因而终止：</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（1）本合同正常履行完毕；</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（2）因不可抗力导致本合同无法履行或履行不必要；</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（3）任何一方行使解除权解除本合同；</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（4）合同的继续履行将损害国家利益和社会公共利益。</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（5）项目退出机制：</w:t>
      </w:r>
      <w:r>
        <w:rPr>
          <w:rFonts w:hint="eastAsia" w:ascii="宋体" w:hAnsi="宋体" w:eastAsia="宋体" w:cs="宋体"/>
          <w:color w:val="000000"/>
          <w:sz w:val="21"/>
          <w:szCs w:val="21"/>
          <w:highlight w:val="none"/>
          <w:lang w:val="en-US" w:eastAsia="zh-CN"/>
        </w:rPr>
        <w:t>详见“十五、考评奖惩措施”中关于甲方有权终止合同的相关条款。</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发生项目</w:t>
      </w:r>
      <w:r>
        <w:rPr>
          <w:rFonts w:hint="eastAsia" w:ascii="宋体" w:hAnsi="宋体" w:eastAsia="宋体" w:cs="宋体"/>
          <w:color w:val="000000"/>
          <w:sz w:val="21"/>
          <w:szCs w:val="21"/>
          <w:highlight w:val="none"/>
        </w:rPr>
        <w:t>退出情形</w:t>
      </w:r>
      <w:r>
        <w:rPr>
          <w:rFonts w:hint="eastAsia" w:ascii="宋体" w:hAnsi="宋体" w:eastAsia="宋体" w:cs="宋体"/>
          <w:color w:val="000000"/>
          <w:sz w:val="21"/>
          <w:szCs w:val="21"/>
          <w:highlight w:val="none"/>
          <w:lang w:val="en-US" w:eastAsia="zh-CN"/>
        </w:rPr>
        <w:t>的</w:t>
      </w:r>
      <w:r>
        <w:rPr>
          <w:rFonts w:hint="eastAsia" w:ascii="宋体" w:hAnsi="宋体" w:eastAsia="宋体" w:cs="宋体"/>
          <w:color w:val="000000"/>
          <w:sz w:val="21"/>
          <w:szCs w:val="21"/>
          <w:highlight w:val="none"/>
        </w:rPr>
        <w:t>，乙方须继续执行本项目相关要求直至甲方找到新的接替服务企业。乙方不执行的，甲方有权没收履约保证金和合同尾款。</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(二)发生道路机械清洗、城市家具清洗保洁、冰雪低温灾害环卫应急保障作业、重大节假日的保障、其他环卫作业应急保障的应急保障作业和应急清洗的，双方明确程序如下:</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1．原则上乙方接到甲方通知，包括书面文件、传真、短信、微信等方式后方可进行。</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2．上述应急保障作业和应急清洗完成后，乙方应该立即书面告知甲方完成情况(含区域、时间、完成效果等)。</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12" w:name="_Toc4208"/>
      <w:r>
        <w:rPr>
          <w:rFonts w:hint="eastAsia" w:ascii="宋体" w:hAnsi="宋体" w:eastAsia="宋体" w:cs="宋体"/>
          <w:b/>
          <w:bCs/>
          <w:sz w:val="21"/>
          <w:szCs w:val="21"/>
          <w:highlight w:val="none"/>
        </w:rPr>
        <w:t>十三、合同争议解决方式</w:t>
      </w:r>
      <w:bookmarkEnd w:id="12"/>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本合同在履行过程中发生争议的，由双方当事人协商解决；商议后无法达成一致的，应依法向甲方所在地有管辖权的人民法院诉讼解决。</w:t>
      </w:r>
    </w:p>
    <w:p>
      <w:pPr>
        <w:pStyle w:val="21"/>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sz w:val="21"/>
          <w:szCs w:val="21"/>
          <w:highlight w:val="none"/>
        </w:rPr>
      </w:pP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13" w:name="_Toc22483"/>
      <w:r>
        <w:rPr>
          <w:rFonts w:hint="eastAsia" w:ascii="宋体" w:hAnsi="宋体" w:eastAsia="宋体" w:cs="宋体"/>
          <w:b/>
          <w:bCs/>
          <w:sz w:val="21"/>
          <w:szCs w:val="21"/>
          <w:highlight w:val="none"/>
        </w:rPr>
        <w:t>十四、协议及相关文件</w:t>
      </w:r>
      <w:bookmarkEnd w:id="13"/>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本协议之附件均为协议有效组成部分，与协议正文具有同等法律效力。附件包括:</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附件1、《武汉市环境卫生精细化管理工作导则-清扫保洁、垃圾收运》；</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附件2、《武汉市环境卫生精细化管理工作导则-</w:t>
      </w:r>
      <w:r>
        <w:rPr>
          <w:rFonts w:hint="eastAsia" w:ascii="宋体" w:hAnsi="宋体" w:eastAsia="宋体" w:cs="宋体"/>
          <w:bCs/>
          <w:color w:val="000000"/>
          <w:sz w:val="21"/>
          <w:szCs w:val="21"/>
          <w:highlight w:val="none"/>
          <w:lang w:val="en-US" w:eastAsia="zh-CN"/>
        </w:rPr>
        <w:t>环卫队伍管理</w:t>
      </w:r>
      <w:r>
        <w:rPr>
          <w:rFonts w:hint="eastAsia" w:ascii="宋体" w:hAnsi="宋体" w:eastAsia="宋体" w:cs="宋体"/>
          <w:bCs/>
          <w:color w:val="000000"/>
          <w:sz w:val="21"/>
          <w:szCs w:val="21"/>
          <w:highlight w:val="none"/>
        </w:rPr>
        <w:t>》；</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附件3、《武汉市环境卫生精细化管理工作导则-</w:t>
      </w:r>
      <w:r>
        <w:rPr>
          <w:rFonts w:hint="eastAsia" w:ascii="宋体" w:hAnsi="宋体" w:eastAsia="宋体" w:cs="宋体"/>
          <w:bCs/>
          <w:color w:val="000000"/>
          <w:sz w:val="21"/>
          <w:szCs w:val="21"/>
          <w:highlight w:val="none"/>
          <w:lang w:val="en-US" w:eastAsia="zh-CN"/>
        </w:rPr>
        <w:t>环卫设施设备管理</w:t>
      </w:r>
      <w:r>
        <w:rPr>
          <w:rFonts w:hint="eastAsia" w:ascii="宋体" w:hAnsi="宋体" w:eastAsia="宋体" w:cs="宋体"/>
          <w:bCs/>
          <w:color w:val="000000"/>
          <w:sz w:val="21"/>
          <w:szCs w:val="21"/>
          <w:highlight w:val="none"/>
        </w:rPr>
        <w:t>》；</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上述文件材料如与本协议正文有矛盾的，以本协议正文为准。如文件前后矛盾，本协议解释优先顺序如下: 本协议;本协议附件;本协议前后约定矛盾的，参考市、区管理要求及协议目的确认。</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本协议及其附件和补充协议中未规定的事宜，均依据有关法律、法规和规章执行，或根据实际情况，经双方友好协商解决。协议文件未尽事项和工作标准按如下现行法律法规实施，双方均予以确认:《中华人民共和国民法典》、《中华人民共和国城市市容和环境卫生管理条例》、《城市容貌标准》、《城市生活垃圾管理办法》、《武汉市市容环境卫生管理条例》等国家、省、市、区有关法律以高标准者为准。如有其他协商签订补充协议。</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color w:val="000000"/>
          <w:sz w:val="21"/>
          <w:szCs w:val="21"/>
          <w:highlight w:val="none"/>
          <w:lang w:val="en-US" w:eastAsia="zh-CN"/>
        </w:rPr>
      </w:pPr>
      <w:bookmarkStart w:id="14" w:name="_Toc14445"/>
      <w:r>
        <w:rPr>
          <w:rFonts w:hint="eastAsia" w:ascii="宋体" w:hAnsi="宋体" w:eastAsia="宋体" w:cs="宋体"/>
          <w:b/>
          <w:bCs/>
          <w:sz w:val="21"/>
          <w:szCs w:val="21"/>
          <w:highlight w:val="none"/>
        </w:rPr>
        <w:t>十五、考评奖惩措施</w:t>
      </w:r>
      <w:bookmarkEnd w:id="14"/>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lang w:eastAsia="zh-CN"/>
        </w:rPr>
        <w:t>甲方</w:t>
      </w:r>
      <w:r>
        <w:rPr>
          <w:rFonts w:hint="eastAsia" w:ascii="宋体" w:hAnsi="宋体" w:cs="宋体"/>
          <w:sz w:val="21"/>
          <w:szCs w:val="21"/>
          <w:highlight w:val="none"/>
          <w:u w:val="none"/>
        </w:rPr>
        <w:t>结合本单位检查</w:t>
      </w:r>
      <w:r>
        <w:rPr>
          <w:rFonts w:hint="eastAsia" w:ascii="宋体" w:hAnsi="宋体" w:cs="宋体"/>
          <w:sz w:val="21"/>
          <w:szCs w:val="21"/>
          <w:highlight w:val="none"/>
          <w:u w:val="none"/>
          <w:lang w:val="en-US" w:eastAsia="zh-CN"/>
        </w:rPr>
        <w:t>考核</w:t>
      </w:r>
      <w:r>
        <w:rPr>
          <w:rFonts w:hint="eastAsia" w:ascii="宋体" w:hAnsi="宋体" w:cs="宋体"/>
          <w:sz w:val="21"/>
          <w:szCs w:val="21"/>
          <w:highlight w:val="none"/>
          <w:u w:val="none"/>
        </w:rPr>
        <w:t>以及</w:t>
      </w:r>
      <w:r>
        <w:rPr>
          <w:rFonts w:hint="eastAsia" w:ascii="宋体" w:hAnsi="宋体" w:cs="宋体"/>
          <w:sz w:val="21"/>
          <w:szCs w:val="21"/>
          <w:highlight w:val="none"/>
          <w:u w:val="none"/>
          <w:lang w:val="en-US" w:eastAsia="zh-CN"/>
        </w:rPr>
        <w:t>上级主管部门检查考核</w:t>
      </w:r>
      <w:r>
        <w:rPr>
          <w:rFonts w:hint="eastAsia" w:ascii="宋体" w:hAnsi="宋体" w:cs="宋体"/>
          <w:sz w:val="21"/>
          <w:szCs w:val="21"/>
          <w:highlight w:val="none"/>
          <w:u w:val="none"/>
        </w:rPr>
        <w:t>结果，对</w:t>
      </w:r>
      <w:r>
        <w:rPr>
          <w:rFonts w:hint="eastAsia" w:ascii="宋体" w:hAnsi="宋体" w:cs="宋体"/>
          <w:sz w:val="21"/>
          <w:szCs w:val="21"/>
          <w:highlight w:val="none"/>
          <w:u w:val="none"/>
          <w:lang w:eastAsia="zh-CN"/>
        </w:rPr>
        <w:t>乙方</w:t>
      </w:r>
      <w:r>
        <w:rPr>
          <w:rFonts w:hint="eastAsia" w:ascii="宋体" w:hAnsi="宋体" w:cs="宋体"/>
          <w:sz w:val="21"/>
          <w:szCs w:val="21"/>
          <w:highlight w:val="none"/>
          <w:u w:val="none"/>
        </w:rPr>
        <w:t>进行奖惩，奖励措施主要是经费奖励，处罚措施包括经费奖励和提前解除合同等。主要包括以下类型：</w:t>
      </w:r>
    </w:p>
    <w:p>
      <w:pPr>
        <w:pStyle w:val="5"/>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lang w:val="en-US" w:eastAsia="zh-CN"/>
        </w:rPr>
        <w:t>1、</w:t>
      </w:r>
      <w:r>
        <w:rPr>
          <w:rFonts w:hint="eastAsia" w:ascii="宋体" w:hAnsi="宋体" w:cs="宋体"/>
          <w:sz w:val="21"/>
          <w:szCs w:val="21"/>
          <w:highlight w:val="none"/>
          <w:u w:val="none"/>
          <w:lang w:eastAsia="zh-CN"/>
        </w:rPr>
        <w:t>甲方</w:t>
      </w:r>
      <w:r>
        <w:rPr>
          <w:rFonts w:hint="eastAsia" w:ascii="宋体" w:hAnsi="宋体" w:cs="宋体"/>
          <w:sz w:val="21"/>
          <w:szCs w:val="21"/>
          <w:highlight w:val="none"/>
          <w:u w:val="none"/>
        </w:rPr>
        <w:t>对</w:t>
      </w:r>
      <w:r>
        <w:rPr>
          <w:rFonts w:hint="eastAsia" w:ascii="宋体" w:hAnsi="宋体" w:cs="宋体"/>
          <w:sz w:val="21"/>
          <w:szCs w:val="21"/>
          <w:highlight w:val="none"/>
          <w:u w:val="none"/>
          <w:lang w:val="en-US" w:eastAsia="zh-CN"/>
        </w:rPr>
        <w:t>乙方</w:t>
      </w:r>
      <w:r>
        <w:rPr>
          <w:rFonts w:hint="eastAsia" w:ascii="宋体" w:hAnsi="宋体" w:cs="宋体"/>
          <w:sz w:val="21"/>
          <w:szCs w:val="21"/>
          <w:highlight w:val="none"/>
          <w:u w:val="none"/>
        </w:rPr>
        <w:t>的</w:t>
      </w:r>
      <w:r>
        <w:rPr>
          <w:rFonts w:hint="eastAsia" w:ascii="宋体" w:hAnsi="宋体" w:cs="宋体"/>
          <w:sz w:val="21"/>
          <w:szCs w:val="21"/>
          <w:highlight w:val="none"/>
          <w:u w:val="none"/>
          <w:lang w:val="en-US" w:eastAsia="zh-CN"/>
        </w:rPr>
        <w:t>直接检查考核：</w:t>
      </w:r>
    </w:p>
    <w:p>
      <w:pPr>
        <w:pStyle w:val="5"/>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lang w:val="en-US" w:eastAsia="zh-CN"/>
        </w:rPr>
        <w:t>（1）对</w:t>
      </w:r>
      <w:r>
        <w:rPr>
          <w:rFonts w:hint="eastAsia" w:ascii="宋体" w:hAnsi="宋体" w:cs="宋体"/>
          <w:sz w:val="21"/>
          <w:szCs w:val="21"/>
          <w:highlight w:val="none"/>
          <w:u w:val="none"/>
        </w:rPr>
        <w:t>作业质量</w:t>
      </w:r>
      <w:r>
        <w:rPr>
          <w:rFonts w:hint="eastAsia" w:ascii="宋体" w:hAnsi="宋体" w:cs="宋体"/>
          <w:sz w:val="21"/>
          <w:szCs w:val="21"/>
          <w:highlight w:val="none"/>
          <w:u w:val="none"/>
          <w:lang w:val="en-US" w:eastAsia="zh-CN"/>
        </w:rPr>
        <w:t>进行月度检查</w:t>
      </w:r>
      <w:r>
        <w:rPr>
          <w:rFonts w:hint="eastAsia" w:ascii="宋体" w:hAnsi="宋体" w:cs="宋体"/>
          <w:sz w:val="21"/>
          <w:szCs w:val="21"/>
          <w:highlight w:val="none"/>
          <w:u w:val="none"/>
        </w:rPr>
        <w:t>考核</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每月</w:t>
      </w:r>
      <w:r>
        <w:rPr>
          <w:rFonts w:hint="eastAsia" w:ascii="宋体" w:hAnsi="宋体" w:cs="宋体"/>
          <w:sz w:val="21"/>
          <w:szCs w:val="21"/>
          <w:highlight w:val="none"/>
          <w:u w:val="none"/>
        </w:rPr>
        <w:t>检查对作业单位的抽查不低于_____处点位，采取百分制倒扣分形式</w:t>
      </w:r>
      <w:r>
        <w:rPr>
          <w:rFonts w:hint="eastAsia" w:ascii="宋体" w:hAnsi="宋体" w:cs="宋体"/>
          <w:sz w:val="21"/>
          <w:szCs w:val="21"/>
          <w:highlight w:val="none"/>
          <w:u w:val="none"/>
          <w:lang w:val="en-US" w:eastAsia="zh-CN"/>
        </w:rPr>
        <w:t>计分，每处环境卫生问题扣____分，月度考核</w:t>
      </w:r>
      <w:r>
        <w:rPr>
          <w:rFonts w:hint="eastAsia" w:ascii="宋体" w:hAnsi="宋体" w:cs="宋体"/>
          <w:sz w:val="21"/>
          <w:szCs w:val="21"/>
          <w:highlight w:val="none"/>
          <w:u w:val="none"/>
        </w:rPr>
        <w:t>成绩低于_____分</w:t>
      </w:r>
      <w:r>
        <w:rPr>
          <w:rFonts w:hint="eastAsia" w:ascii="宋体" w:hAnsi="宋体" w:cs="宋体"/>
          <w:sz w:val="21"/>
          <w:szCs w:val="21"/>
          <w:highlight w:val="none"/>
          <w:u w:val="none"/>
          <w:lang w:val="en-US" w:eastAsia="zh-CN"/>
        </w:rPr>
        <w:t>视为作业质量</w:t>
      </w:r>
      <w:r>
        <w:rPr>
          <w:rFonts w:hint="eastAsia" w:ascii="宋体" w:hAnsi="宋体" w:cs="宋体"/>
          <w:sz w:val="21"/>
          <w:szCs w:val="21"/>
          <w:highlight w:val="none"/>
          <w:u w:val="none"/>
        </w:rPr>
        <w:t>不达标</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按照服务合同中每月服务费用总额的_____%进行处罚。</w:t>
      </w:r>
    </w:p>
    <w:p>
      <w:pPr>
        <w:pStyle w:val="5"/>
        <w:pageBreakBefore w:val="0"/>
        <w:widowControl w:val="0"/>
        <w:numPr>
          <w:ilvl w:val="0"/>
          <w:numId w:val="0"/>
        </w:numPr>
        <w:kinsoku/>
        <w:wordWrap/>
        <w:overflowPunct/>
        <w:topLinePunct w:val="0"/>
        <w:autoSpaceDE/>
        <w:autoSpaceDN/>
        <w:bidi w:val="0"/>
        <w:adjustRightInd/>
        <w:snapToGrid/>
        <w:spacing w:line="440" w:lineRule="exact"/>
        <w:ind w:firstLine="42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2）对乙方的信息化管理情况进行月度检查考核，发现乙方未按要求在环卫设施、车辆、人员全量配备前端设备并接入主管部门信息化平台的，每月扣____元;信息化平台各项作业数据不符合市、区环卫作业规范和考核标准的，每月扣____元;基础业务数据更新维护不及时、不规范、不准确的，每月扣_____元。上述信息化管理工作均符合监管要求的，每月奖励_____元。</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3</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对</w:t>
      </w:r>
      <w:r>
        <w:rPr>
          <w:rFonts w:hint="eastAsia" w:ascii="宋体" w:hAnsi="宋体" w:cs="宋体"/>
          <w:sz w:val="21"/>
          <w:szCs w:val="21"/>
          <w:highlight w:val="none"/>
          <w:u w:val="none"/>
          <w:lang w:val="en-US" w:eastAsia="zh-CN"/>
        </w:rPr>
        <w:t>乙方作业力量配备情况</w:t>
      </w:r>
      <w:r>
        <w:rPr>
          <w:rFonts w:hint="eastAsia" w:ascii="宋体" w:hAnsi="宋体" w:cs="宋体"/>
          <w:sz w:val="21"/>
          <w:szCs w:val="21"/>
          <w:highlight w:val="none"/>
          <w:u w:val="none"/>
        </w:rPr>
        <w:t>进行</w:t>
      </w:r>
      <w:r>
        <w:rPr>
          <w:rFonts w:hint="eastAsia" w:ascii="宋体" w:hAnsi="宋体" w:cs="宋体"/>
          <w:sz w:val="21"/>
          <w:szCs w:val="21"/>
          <w:highlight w:val="none"/>
          <w:u w:val="none"/>
          <w:lang w:val="en-US" w:eastAsia="zh-CN"/>
        </w:rPr>
        <w:t>月度</w:t>
      </w:r>
      <w:r>
        <w:rPr>
          <w:rFonts w:hint="eastAsia" w:ascii="宋体" w:hAnsi="宋体" w:cs="宋体"/>
          <w:sz w:val="21"/>
          <w:szCs w:val="21"/>
          <w:highlight w:val="none"/>
          <w:u w:val="none"/>
        </w:rPr>
        <w:t>检查</w:t>
      </w:r>
      <w:r>
        <w:rPr>
          <w:rFonts w:hint="eastAsia" w:ascii="宋体" w:hAnsi="宋体" w:cs="宋体"/>
          <w:sz w:val="21"/>
          <w:szCs w:val="21"/>
          <w:highlight w:val="none"/>
          <w:u w:val="none"/>
          <w:lang w:val="en-US" w:eastAsia="zh-CN"/>
        </w:rPr>
        <w:t>考核</w:t>
      </w:r>
      <w:r>
        <w:rPr>
          <w:rFonts w:hint="eastAsia" w:ascii="宋体" w:hAnsi="宋体" w:cs="宋体"/>
          <w:sz w:val="21"/>
          <w:szCs w:val="21"/>
          <w:highlight w:val="none"/>
          <w:u w:val="none"/>
        </w:rPr>
        <w:t>，如</w:t>
      </w:r>
      <w:r>
        <w:rPr>
          <w:rFonts w:hint="eastAsia" w:ascii="宋体" w:hAnsi="宋体" w:cs="宋体"/>
          <w:sz w:val="21"/>
          <w:szCs w:val="21"/>
          <w:highlight w:val="none"/>
          <w:u w:val="none"/>
          <w:lang w:val="en-US" w:eastAsia="zh-CN"/>
        </w:rPr>
        <w:t>乙方</w:t>
      </w:r>
      <w:r>
        <w:rPr>
          <w:rFonts w:hint="eastAsia" w:ascii="宋体" w:hAnsi="宋体" w:cs="宋体"/>
          <w:sz w:val="21"/>
          <w:szCs w:val="21"/>
          <w:highlight w:val="none"/>
          <w:u w:val="none"/>
        </w:rPr>
        <w:t>未按招标文件中规定的</w:t>
      </w:r>
      <w:r>
        <w:rPr>
          <w:rFonts w:hint="eastAsia" w:ascii="宋体" w:hAnsi="宋体" w:cs="宋体"/>
          <w:sz w:val="21"/>
          <w:szCs w:val="21"/>
          <w:highlight w:val="none"/>
          <w:u w:val="none"/>
          <w:lang w:val="en-US" w:eastAsia="zh-CN"/>
        </w:rPr>
        <w:t>数量和类型配备作业人员和车辆的</w:t>
      </w:r>
      <w:r>
        <w:rPr>
          <w:rFonts w:hint="eastAsia" w:ascii="宋体" w:hAnsi="宋体" w:cs="宋体"/>
          <w:sz w:val="21"/>
          <w:szCs w:val="21"/>
          <w:highlight w:val="none"/>
          <w:u w:val="none"/>
        </w:rPr>
        <w:t>，</w:t>
      </w:r>
      <w:r>
        <w:rPr>
          <w:rFonts w:hint="eastAsia" w:ascii="宋体" w:hAnsi="宋体" w:cs="宋体"/>
          <w:sz w:val="21"/>
          <w:szCs w:val="21"/>
          <w:highlight w:val="none"/>
          <w:u w:val="none"/>
          <w:lang w:val="en-US" w:eastAsia="zh-CN"/>
        </w:rPr>
        <w:t>月底按照</w:t>
      </w:r>
      <w:r>
        <w:rPr>
          <w:rFonts w:hint="eastAsia" w:ascii="宋体" w:hAnsi="宋体" w:cs="宋体"/>
          <w:sz w:val="21"/>
          <w:szCs w:val="21"/>
          <w:highlight w:val="none"/>
          <w:u w:val="none"/>
        </w:rPr>
        <w:t>每缺少</w:t>
      </w:r>
      <w:r>
        <w:rPr>
          <w:rFonts w:hint="eastAsia" w:ascii="宋体" w:hAnsi="宋体" w:cs="宋体"/>
          <w:sz w:val="21"/>
          <w:szCs w:val="21"/>
          <w:highlight w:val="none"/>
          <w:u w:val="none"/>
          <w:lang w:val="en-US" w:eastAsia="zh-CN"/>
        </w:rPr>
        <w:t>1</w:t>
      </w:r>
      <w:r>
        <w:rPr>
          <w:rFonts w:hint="eastAsia" w:ascii="宋体" w:hAnsi="宋体" w:cs="宋体"/>
          <w:sz w:val="21"/>
          <w:szCs w:val="21"/>
          <w:highlight w:val="none"/>
          <w:u w:val="none"/>
        </w:rPr>
        <w:t>人_____元</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每缺少</w:t>
      </w:r>
      <w:r>
        <w:rPr>
          <w:rFonts w:hint="eastAsia" w:ascii="宋体" w:hAnsi="宋体" w:cs="宋体"/>
          <w:sz w:val="21"/>
          <w:szCs w:val="21"/>
          <w:highlight w:val="none"/>
          <w:u w:val="none"/>
          <w:lang w:val="en-US" w:eastAsia="zh-CN"/>
        </w:rPr>
        <w:t>1</w:t>
      </w:r>
      <w:r>
        <w:rPr>
          <w:rFonts w:hint="eastAsia" w:ascii="宋体" w:hAnsi="宋体" w:cs="宋体"/>
          <w:sz w:val="21"/>
          <w:szCs w:val="21"/>
          <w:highlight w:val="none"/>
          <w:u w:val="none"/>
        </w:rPr>
        <w:t>台</w:t>
      </w:r>
      <w:r>
        <w:rPr>
          <w:rFonts w:hint="eastAsia" w:ascii="宋体" w:hAnsi="宋体" w:cs="宋体"/>
          <w:sz w:val="21"/>
          <w:szCs w:val="21"/>
          <w:highlight w:val="none"/>
          <w:u w:val="none"/>
          <w:lang w:val="en-US" w:eastAsia="zh-CN"/>
        </w:rPr>
        <w:t>车辆</w:t>
      </w:r>
      <w:r>
        <w:rPr>
          <w:rFonts w:hint="eastAsia" w:ascii="宋体" w:hAnsi="宋体" w:cs="宋体"/>
          <w:sz w:val="21"/>
          <w:szCs w:val="21"/>
          <w:highlight w:val="none"/>
          <w:u w:val="none"/>
        </w:rPr>
        <w:t>_____元</w:t>
      </w:r>
      <w:r>
        <w:rPr>
          <w:rFonts w:hint="eastAsia" w:ascii="宋体" w:hAnsi="宋体" w:cs="宋体"/>
          <w:sz w:val="21"/>
          <w:szCs w:val="21"/>
          <w:highlight w:val="none"/>
          <w:u w:val="none"/>
          <w:lang w:val="en-US" w:eastAsia="zh-CN"/>
        </w:rPr>
        <w:t>的标准予以扣款；出勤人员与排班计划不符，临时</w:t>
      </w:r>
      <w:r>
        <w:rPr>
          <w:rFonts w:hint="eastAsia" w:ascii="宋体" w:hAnsi="宋体" w:cs="宋体"/>
          <w:sz w:val="21"/>
          <w:szCs w:val="21"/>
          <w:highlight w:val="none"/>
          <w:u w:val="none"/>
        </w:rPr>
        <w:t>少人、缺岗</w:t>
      </w:r>
      <w:r>
        <w:rPr>
          <w:rFonts w:hint="eastAsia" w:ascii="宋体" w:hAnsi="宋体" w:cs="宋体"/>
          <w:sz w:val="21"/>
          <w:szCs w:val="21"/>
          <w:highlight w:val="none"/>
          <w:u w:val="none"/>
          <w:lang w:val="en-US" w:eastAsia="zh-CN"/>
        </w:rPr>
        <w:t>的</w:t>
      </w:r>
      <w:r>
        <w:rPr>
          <w:rFonts w:hint="eastAsia" w:ascii="宋体" w:hAnsi="宋体" w:cs="宋体"/>
          <w:sz w:val="21"/>
          <w:szCs w:val="21"/>
          <w:highlight w:val="none"/>
          <w:u w:val="none"/>
        </w:rPr>
        <w:t>，</w:t>
      </w:r>
      <w:r>
        <w:rPr>
          <w:rFonts w:hint="eastAsia" w:ascii="宋体" w:hAnsi="宋体" w:cs="宋体"/>
          <w:sz w:val="21"/>
          <w:szCs w:val="21"/>
          <w:highlight w:val="none"/>
          <w:u w:val="none"/>
          <w:lang w:val="en-US" w:eastAsia="zh-CN"/>
        </w:rPr>
        <w:t>每次</w:t>
      </w:r>
      <w:r>
        <w:rPr>
          <w:rFonts w:hint="eastAsia" w:ascii="宋体" w:hAnsi="宋体" w:cs="宋体"/>
          <w:sz w:val="21"/>
          <w:szCs w:val="21"/>
          <w:highlight w:val="none"/>
          <w:u w:val="none"/>
        </w:rPr>
        <w:t>每缺少</w:t>
      </w:r>
      <w:r>
        <w:rPr>
          <w:rFonts w:hint="eastAsia" w:ascii="宋体" w:hAnsi="宋体" w:cs="宋体"/>
          <w:sz w:val="21"/>
          <w:szCs w:val="21"/>
          <w:highlight w:val="none"/>
          <w:u w:val="none"/>
          <w:lang w:val="en-US" w:eastAsia="zh-CN"/>
        </w:rPr>
        <w:t>1</w:t>
      </w:r>
      <w:r>
        <w:rPr>
          <w:rFonts w:hint="eastAsia" w:ascii="宋体" w:hAnsi="宋体" w:cs="宋体"/>
          <w:sz w:val="21"/>
          <w:szCs w:val="21"/>
          <w:highlight w:val="none"/>
          <w:u w:val="none"/>
        </w:rPr>
        <w:t>人扣除_____元;</w:t>
      </w:r>
      <w:r>
        <w:rPr>
          <w:rFonts w:hint="eastAsia" w:ascii="宋体" w:hAnsi="宋体" w:cs="宋体"/>
          <w:sz w:val="21"/>
          <w:szCs w:val="21"/>
          <w:highlight w:val="none"/>
          <w:u w:val="none"/>
          <w:lang w:val="en-US" w:eastAsia="zh-CN"/>
        </w:rPr>
        <w:t>环卫</w:t>
      </w:r>
      <w:r>
        <w:rPr>
          <w:rFonts w:hint="eastAsia" w:ascii="宋体" w:hAnsi="宋体" w:cs="宋体"/>
          <w:sz w:val="21"/>
          <w:szCs w:val="21"/>
          <w:highlight w:val="none"/>
          <w:u w:val="none"/>
        </w:rPr>
        <w:t>作业车辆</w:t>
      </w:r>
      <w:r>
        <w:rPr>
          <w:rFonts w:hint="eastAsia" w:ascii="宋体" w:hAnsi="宋体" w:cs="宋体"/>
          <w:sz w:val="21"/>
          <w:szCs w:val="21"/>
          <w:highlight w:val="none"/>
          <w:u w:val="none"/>
          <w:lang w:val="en-US" w:eastAsia="zh-CN"/>
        </w:rPr>
        <w:t>存在未密闭运输、</w:t>
      </w:r>
      <w:r>
        <w:rPr>
          <w:rFonts w:hint="eastAsia" w:ascii="宋体" w:hAnsi="宋体" w:cs="宋体"/>
          <w:sz w:val="21"/>
          <w:szCs w:val="21"/>
          <w:highlight w:val="none"/>
          <w:u w:val="none"/>
        </w:rPr>
        <w:t>跑冒滴漏、外观脏污</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作业扰民</w:t>
      </w:r>
      <w:r>
        <w:rPr>
          <w:rFonts w:hint="eastAsia" w:ascii="宋体" w:hAnsi="宋体" w:cs="宋体"/>
          <w:sz w:val="21"/>
          <w:szCs w:val="21"/>
          <w:highlight w:val="none"/>
          <w:u w:val="none"/>
        </w:rPr>
        <w:t>等</w:t>
      </w:r>
      <w:r>
        <w:rPr>
          <w:rFonts w:hint="eastAsia" w:ascii="宋体" w:hAnsi="宋体" w:cs="宋体"/>
          <w:sz w:val="21"/>
          <w:szCs w:val="21"/>
          <w:highlight w:val="none"/>
          <w:u w:val="none"/>
          <w:lang w:val="en-US" w:eastAsia="zh-CN"/>
        </w:rPr>
        <w:t>违规</w:t>
      </w:r>
      <w:r>
        <w:rPr>
          <w:rFonts w:hint="eastAsia" w:ascii="宋体" w:hAnsi="宋体" w:cs="宋体"/>
          <w:sz w:val="21"/>
          <w:szCs w:val="21"/>
          <w:highlight w:val="none"/>
          <w:u w:val="none"/>
        </w:rPr>
        <w:t>现象，每发现</w:t>
      </w:r>
      <w:r>
        <w:rPr>
          <w:rFonts w:hint="eastAsia" w:ascii="宋体" w:hAnsi="宋体" w:cs="宋体"/>
          <w:sz w:val="21"/>
          <w:szCs w:val="21"/>
          <w:highlight w:val="none"/>
          <w:u w:val="none"/>
          <w:lang w:val="en-US" w:eastAsia="zh-CN"/>
        </w:rPr>
        <w:t>1</w:t>
      </w:r>
      <w:r>
        <w:rPr>
          <w:rFonts w:hint="eastAsia" w:ascii="宋体" w:hAnsi="宋体" w:cs="宋体"/>
          <w:sz w:val="21"/>
          <w:szCs w:val="21"/>
          <w:highlight w:val="none"/>
          <w:u w:val="none"/>
        </w:rPr>
        <w:t>次扣除_____元;因</w:t>
      </w:r>
      <w:r>
        <w:rPr>
          <w:rFonts w:hint="eastAsia" w:ascii="宋体" w:hAnsi="宋体" w:cs="宋体"/>
          <w:sz w:val="21"/>
          <w:szCs w:val="21"/>
          <w:highlight w:val="none"/>
          <w:u w:val="none"/>
          <w:lang w:val="en-US" w:eastAsia="zh-CN"/>
        </w:rPr>
        <w:t>乙方</w:t>
      </w:r>
      <w:r>
        <w:rPr>
          <w:rFonts w:hint="eastAsia" w:ascii="宋体" w:hAnsi="宋体" w:cs="宋体"/>
          <w:sz w:val="21"/>
          <w:szCs w:val="21"/>
          <w:highlight w:val="none"/>
          <w:u w:val="none"/>
        </w:rPr>
        <w:t>监管不力出现作业人员操作失误带来重大经济损失</w:t>
      </w:r>
      <w:r>
        <w:rPr>
          <w:rFonts w:hint="eastAsia" w:ascii="宋体" w:hAnsi="宋体" w:cs="宋体"/>
          <w:sz w:val="21"/>
          <w:szCs w:val="21"/>
          <w:highlight w:val="none"/>
          <w:u w:val="none"/>
          <w:lang w:val="en-US" w:eastAsia="zh-CN"/>
        </w:rPr>
        <w:t>的</w:t>
      </w:r>
      <w:r>
        <w:rPr>
          <w:rFonts w:hint="eastAsia" w:ascii="宋体" w:hAnsi="宋体" w:cs="宋体"/>
          <w:sz w:val="21"/>
          <w:szCs w:val="21"/>
          <w:highlight w:val="none"/>
          <w:u w:val="none"/>
        </w:rPr>
        <w:t>，由作业单位自行承担，</w:t>
      </w:r>
      <w:r>
        <w:rPr>
          <w:rFonts w:hint="eastAsia" w:ascii="宋体" w:hAnsi="宋体" w:cs="宋体"/>
          <w:sz w:val="21"/>
          <w:szCs w:val="21"/>
          <w:highlight w:val="none"/>
          <w:u w:val="none"/>
          <w:lang w:eastAsia="zh-CN"/>
        </w:rPr>
        <w:t>甲方</w:t>
      </w:r>
      <w:r>
        <w:rPr>
          <w:rFonts w:hint="eastAsia" w:ascii="宋体" w:hAnsi="宋体" w:cs="宋体"/>
          <w:sz w:val="21"/>
          <w:szCs w:val="21"/>
          <w:highlight w:val="none"/>
          <w:u w:val="none"/>
        </w:rPr>
        <w:t>保留</w:t>
      </w:r>
      <w:r>
        <w:rPr>
          <w:rFonts w:hint="eastAsia" w:ascii="宋体" w:hAnsi="宋体" w:cs="宋体"/>
          <w:sz w:val="21"/>
          <w:szCs w:val="21"/>
          <w:highlight w:val="none"/>
          <w:u w:val="none"/>
          <w:lang w:eastAsia="zh-CN"/>
        </w:rPr>
        <w:t>追究责任的权利</w:t>
      </w:r>
      <w:r>
        <w:rPr>
          <w:rFonts w:hint="eastAsia" w:ascii="宋体" w:hAnsi="宋体" w:cs="宋体"/>
          <w:sz w:val="21"/>
          <w:szCs w:val="21"/>
          <w:highlight w:val="none"/>
          <w:u w:val="none"/>
        </w:rPr>
        <w:t>。</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对</w:t>
      </w:r>
      <w:r>
        <w:rPr>
          <w:rFonts w:hint="eastAsia" w:ascii="宋体" w:hAnsi="宋体" w:cs="宋体"/>
          <w:sz w:val="21"/>
          <w:szCs w:val="21"/>
          <w:highlight w:val="none"/>
          <w:u w:val="none"/>
          <w:lang w:eastAsia="zh-CN"/>
        </w:rPr>
        <w:t>乙方</w:t>
      </w:r>
      <w:r>
        <w:rPr>
          <w:rFonts w:hint="eastAsia" w:ascii="宋体" w:hAnsi="宋体" w:cs="宋体"/>
          <w:sz w:val="21"/>
          <w:szCs w:val="21"/>
          <w:highlight w:val="none"/>
          <w:u w:val="none"/>
        </w:rPr>
        <w:t>落实环卫工人的福利待遇</w:t>
      </w:r>
      <w:r>
        <w:rPr>
          <w:rFonts w:hint="eastAsia" w:ascii="宋体" w:hAnsi="宋体" w:cs="宋体"/>
          <w:sz w:val="21"/>
          <w:szCs w:val="21"/>
          <w:highlight w:val="none"/>
          <w:u w:val="none"/>
          <w:lang w:val="en-US" w:eastAsia="zh-CN"/>
        </w:rPr>
        <w:t>落实</w:t>
      </w:r>
      <w:r>
        <w:rPr>
          <w:rFonts w:hint="eastAsia" w:ascii="宋体" w:hAnsi="宋体" w:cs="宋体"/>
          <w:sz w:val="21"/>
          <w:szCs w:val="21"/>
          <w:highlight w:val="none"/>
          <w:u w:val="none"/>
        </w:rPr>
        <w:t>情况进行监管，发现有未落实</w:t>
      </w:r>
      <w:r>
        <w:rPr>
          <w:rFonts w:hint="eastAsia" w:ascii="宋体" w:hAnsi="宋体" w:cs="宋体"/>
          <w:sz w:val="21"/>
          <w:szCs w:val="21"/>
          <w:highlight w:val="none"/>
          <w:u w:val="none"/>
          <w:lang w:val="en-US" w:eastAsia="zh-CN"/>
        </w:rPr>
        <w:t>社保应缴尽缴、工资未达到当地最低收入130%标准、未按时提供、更新环卫工人工作装备的、</w:t>
      </w:r>
      <w:r>
        <w:rPr>
          <w:rFonts w:hint="eastAsia" w:ascii="宋体" w:hAnsi="宋体" w:cs="宋体"/>
          <w:sz w:val="21"/>
          <w:szCs w:val="21"/>
          <w:highlight w:val="none"/>
          <w:u w:val="none"/>
        </w:rPr>
        <w:t>或</w:t>
      </w:r>
      <w:r>
        <w:rPr>
          <w:rFonts w:hint="eastAsia" w:ascii="宋体" w:hAnsi="宋体" w:cs="宋体"/>
          <w:sz w:val="21"/>
          <w:szCs w:val="21"/>
          <w:highlight w:val="none"/>
          <w:u w:val="none"/>
          <w:lang w:val="en-US" w:eastAsia="zh-CN"/>
        </w:rPr>
        <w:t>其他相关情形的，经查实后，按照每人扣除</w:t>
      </w:r>
      <w:r>
        <w:rPr>
          <w:rFonts w:hint="eastAsia" w:ascii="宋体" w:hAnsi="宋体" w:cs="宋体"/>
          <w:sz w:val="21"/>
          <w:szCs w:val="21"/>
          <w:highlight w:val="none"/>
          <w:u w:val="none"/>
        </w:rPr>
        <w:t>_____元。</w:t>
      </w:r>
      <w:r>
        <w:rPr>
          <w:rFonts w:hint="eastAsia" w:ascii="宋体" w:hAnsi="宋体" w:cs="宋体"/>
          <w:sz w:val="21"/>
          <w:szCs w:val="21"/>
          <w:highlight w:val="none"/>
          <w:u w:val="none"/>
          <w:lang w:val="en-US" w:eastAsia="zh-CN"/>
        </w:rPr>
        <w:t>经甲方书面督促后仍整改不到位的，甲方有权终止合同。</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5）对乙方在各类重大活动、灾害天气、突发环境卫生问题和甲方指派的其他临时环境卫生保障任务中，对甲方指挥调度的响应、落实情况进行评估。对甲方指挥调度不予响应或落实不力造成不良影响的，每次扣除______元。</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2、甲方根据上级主管部门相关检查考评结果，对乙方进行考核：</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highlight w:val="none"/>
          <w:u w:val="none"/>
          <w:lang w:val="en-US" w:eastAsia="zh-CN"/>
        </w:rPr>
      </w:pPr>
      <w:r>
        <w:rPr>
          <w:rFonts w:hint="eastAsia" w:ascii="宋体" w:hAnsi="宋体" w:cs="宋体"/>
          <w:sz w:val="21"/>
          <w:szCs w:val="21"/>
          <w:highlight w:val="none"/>
          <w:u w:val="none"/>
          <w:lang w:val="en-US" w:eastAsia="zh-CN"/>
        </w:rPr>
        <w:t>（1）按照</w:t>
      </w:r>
      <w:r>
        <w:rPr>
          <w:rFonts w:hint="eastAsia" w:ascii="宋体" w:hAnsi="宋体" w:cs="宋体"/>
          <w:sz w:val="21"/>
          <w:szCs w:val="21"/>
          <w:highlight w:val="none"/>
          <w:u w:val="none"/>
        </w:rPr>
        <w:t>市城综委办</w:t>
      </w:r>
      <w:r>
        <w:rPr>
          <w:rFonts w:hint="eastAsia" w:ascii="宋体" w:hAnsi="宋体" w:cs="宋体"/>
          <w:sz w:val="21"/>
          <w:szCs w:val="21"/>
          <w:highlight w:val="none"/>
          <w:u w:val="none"/>
          <w:lang w:val="en-US" w:eastAsia="zh-CN"/>
        </w:rPr>
        <w:t>考核方案</w:t>
      </w:r>
      <w:r>
        <w:rPr>
          <w:rFonts w:hint="eastAsia" w:ascii="宋体" w:hAnsi="宋体" w:cs="宋体"/>
          <w:b/>
          <w:bCs/>
          <w:sz w:val="21"/>
          <w:szCs w:val="21"/>
          <w:highlight w:val="none"/>
          <w:u w:val="none"/>
          <w:lang w:val="en-US" w:eastAsia="zh-CN"/>
        </w:rPr>
        <w:t>（注：此处应附合同签订时正在执行的考核文件名称）</w:t>
      </w:r>
      <w:r>
        <w:rPr>
          <w:rFonts w:hint="eastAsia" w:ascii="宋体" w:hAnsi="宋体" w:cs="宋体"/>
          <w:sz w:val="21"/>
          <w:szCs w:val="21"/>
          <w:highlight w:val="none"/>
          <w:u w:val="none"/>
          <w:lang w:val="en-US" w:eastAsia="zh-CN"/>
        </w:rPr>
        <w:t>，市级（或区级）</w:t>
      </w:r>
      <w:r>
        <w:rPr>
          <w:rFonts w:hint="eastAsia" w:ascii="宋体" w:hAnsi="宋体" w:cs="宋体"/>
          <w:sz w:val="21"/>
          <w:szCs w:val="21"/>
          <w:highlight w:val="none"/>
          <w:u w:val="none"/>
        </w:rPr>
        <w:t>三方</w:t>
      </w:r>
      <w:r>
        <w:rPr>
          <w:rFonts w:hint="eastAsia" w:ascii="宋体" w:hAnsi="宋体" w:cs="宋体"/>
          <w:sz w:val="21"/>
          <w:szCs w:val="21"/>
          <w:highlight w:val="none"/>
          <w:u w:val="none"/>
          <w:lang w:val="en-US" w:eastAsia="zh-CN"/>
        </w:rPr>
        <w:t>对乙方服务区域内的</w:t>
      </w:r>
      <w:r>
        <w:rPr>
          <w:rFonts w:hint="eastAsia" w:ascii="宋体" w:hAnsi="宋体" w:cs="宋体"/>
          <w:sz w:val="21"/>
          <w:szCs w:val="21"/>
          <w:highlight w:val="none"/>
          <w:u w:val="none"/>
        </w:rPr>
        <w:t>受检点位检查</w:t>
      </w:r>
      <w:r>
        <w:rPr>
          <w:rFonts w:hint="eastAsia" w:ascii="宋体" w:hAnsi="宋体" w:cs="宋体"/>
          <w:sz w:val="21"/>
          <w:szCs w:val="21"/>
          <w:highlight w:val="none"/>
          <w:u w:val="none"/>
          <w:lang w:val="en-US" w:eastAsia="zh-CN"/>
        </w:rPr>
        <w:t>测评</w:t>
      </w:r>
      <w:r>
        <w:rPr>
          <w:rFonts w:hint="eastAsia" w:ascii="宋体" w:hAnsi="宋体" w:cs="宋体"/>
          <w:sz w:val="21"/>
          <w:szCs w:val="21"/>
          <w:highlight w:val="none"/>
          <w:u w:val="none"/>
        </w:rPr>
        <w:t>成绩低于_____分</w:t>
      </w:r>
      <w:r>
        <w:rPr>
          <w:rFonts w:hint="eastAsia" w:ascii="宋体" w:hAnsi="宋体" w:cs="宋体"/>
          <w:sz w:val="21"/>
          <w:szCs w:val="21"/>
          <w:highlight w:val="none"/>
          <w:u w:val="none"/>
          <w:lang w:val="en-US" w:eastAsia="zh-CN"/>
        </w:rPr>
        <w:t>视为</w:t>
      </w:r>
      <w:r>
        <w:rPr>
          <w:rFonts w:hint="eastAsia" w:ascii="宋体" w:hAnsi="宋体" w:cs="宋体"/>
          <w:sz w:val="21"/>
          <w:szCs w:val="21"/>
          <w:highlight w:val="none"/>
          <w:u w:val="none"/>
        </w:rPr>
        <w:t>不达标，每月不达标点位少于_____个的，奖励_____元;</w:t>
      </w:r>
      <w:r>
        <w:rPr>
          <w:rFonts w:hint="eastAsia" w:ascii="宋体" w:hAnsi="宋体" w:cs="宋体"/>
          <w:sz w:val="21"/>
          <w:szCs w:val="21"/>
          <w:highlight w:val="none"/>
          <w:u w:val="none"/>
          <w:lang w:val="en-US" w:eastAsia="zh-CN"/>
        </w:rPr>
        <w:t>每月</w:t>
      </w:r>
      <w:r>
        <w:rPr>
          <w:rFonts w:hint="eastAsia" w:ascii="宋体" w:hAnsi="宋体" w:cs="宋体"/>
          <w:sz w:val="21"/>
          <w:szCs w:val="21"/>
          <w:highlight w:val="none"/>
          <w:u w:val="none"/>
        </w:rPr>
        <w:t>不达标点位数超过_____</w:t>
      </w:r>
      <w:r>
        <w:rPr>
          <w:rFonts w:hint="eastAsia" w:ascii="宋体" w:hAnsi="宋体" w:cs="宋体"/>
          <w:sz w:val="21"/>
          <w:szCs w:val="21"/>
          <w:highlight w:val="none"/>
          <w:u w:val="none"/>
          <w:lang w:val="en-US" w:eastAsia="zh-CN"/>
        </w:rPr>
        <w:t>的</w:t>
      </w:r>
      <w:r>
        <w:rPr>
          <w:rFonts w:hint="eastAsia" w:ascii="宋体" w:hAnsi="宋体" w:cs="宋体"/>
          <w:sz w:val="21"/>
          <w:szCs w:val="21"/>
          <w:highlight w:val="none"/>
          <w:u w:val="none"/>
        </w:rPr>
        <w:t>，每超出1个扣除_____元</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rPr>
        <w:t>同一点位</w:t>
      </w:r>
      <w:r>
        <w:rPr>
          <w:rFonts w:hint="eastAsia" w:ascii="宋体" w:hAnsi="宋体" w:cs="宋体"/>
          <w:sz w:val="21"/>
          <w:szCs w:val="21"/>
          <w:highlight w:val="none"/>
          <w:u w:val="none"/>
          <w:lang w:val="en-US" w:eastAsia="zh-CN"/>
        </w:rPr>
        <w:t>连续不达标达到</w:t>
      </w:r>
      <w:r>
        <w:rPr>
          <w:rFonts w:hint="eastAsia" w:ascii="宋体" w:hAnsi="宋体" w:cs="宋体"/>
          <w:sz w:val="21"/>
          <w:szCs w:val="21"/>
          <w:highlight w:val="none"/>
          <w:u w:val="none"/>
        </w:rPr>
        <w:t>_____次</w:t>
      </w:r>
      <w:r>
        <w:rPr>
          <w:rFonts w:hint="eastAsia" w:ascii="宋体" w:hAnsi="宋体" w:cs="宋体"/>
          <w:sz w:val="21"/>
          <w:szCs w:val="21"/>
          <w:highlight w:val="none"/>
          <w:u w:val="none"/>
          <w:lang w:val="en-US" w:eastAsia="zh-CN"/>
        </w:rPr>
        <w:t>或出现得分在_____分以下严重扣分情况</w:t>
      </w:r>
      <w:r>
        <w:rPr>
          <w:rFonts w:hint="eastAsia" w:ascii="宋体" w:hAnsi="宋体" w:cs="宋体"/>
          <w:sz w:val="21"/>
          <w:szCs w:val="21"/>
          <w:highlight w:val="none"/>
          <w:u w:val="none"/>
        </w:rPr>
        <w:t>的</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每个</w:t>
      </w:r>
      <w:r>
        <w:rPr>
          <w:rFonts w:hint="eastAsia" w:ascii="宋体" w:hAnsi="宋体" w:cs="宋体"/>
          <w:sz w:val="21"/>
          <w:szCs w:val="21"/>
          <w:highlight w:val="none"/>
          <w:u w:val="none"/>
        </w:rPr>
        <w:t>给予_____元经济处罚。</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lang w:val="en-US" w:eastAsia="zh-CN"/>
        </w:rPr>
        <w:t>（2）市级（或区级）三方检查、马路办公和其他监督检查</w:t>
      </w:r>
      <w:r>
        <w:rPr>
          <w:rFonts w:hint="eastAsia" w:ascii="宋体" w:hAnsi="宋体" w:cs="宋体"/>
          <w:sz w:val="21"/>
          <w:szCs w:val="21"/>
          <w:highlight w:val="none"/>
          <w:u w:val="none"/>
        </w:rPr>
        <w:t>发现的问题未按要求及时整改的，每个扣除_____元；同一点位</w:t>
      </w:r>
      <w:r>
        <w:rPr>
          <w:rFonts w:hint="eastAsia" w:ascii="宋体" w:hAnsi="宋体" w:cs="宋体"/>
          <w:sz w:val="21"/>
          <w:szCs w:val="21"/>
          <w:highlight w:val="none"/>
          <w:u w:val="none"/>
          <w:lang w:val="en-US" w:eastAsia="zh-CN"/>
        </w:rPr>
        <w:t>一个月（或一个季度）内</w:t>
      </w:r>
      <w:r>
        <w:rPr>
          <w:rFonts w:hint="eastAsia" w:ascii="宋体" w:hAnsi="宋体" w:cs="宋体"/>
          <w:sz w:val="21"/>
          <w:szCs w:val="21"/>
          <w:highlight w:val="none"/>
          <w:u w:val="none"/>
        </w:rPr>
        <w:t>连续发现问题的，每</w:t>
      </w:r>
      <w:r>
        <w:rPr>
          <w:rFonts w:hint="eastAsia" w:ascii="宋体" w:hAnsi="宋体" w:cs="宋体"/>
          <w:sz w:val="21"/>
          <w:szCs w:val="21"/>
          <w:highlight w:val="none"/>
          <w:u w:val="none"/>
          <w:lang w:val="en-US" w:eastAsia="zh-CN"/>
        </w:rPr>
        <w:t>个点位</w:t>
      </w:r>
      <w:r>
        <w:rPr>
          <w:rFonts w:hint="eastAsia" w:ascii="宋体" w:hAnsi="宋体" w:cs="宋体"/>
          <w:sz w:val="21"/>
          <w:szCs w:val="21"/>
          <w:highlight w:val="none"/>
          <w:u w:val="none"/>
        </w:rPr>
        <w:t>扣除_____元。</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lang w:val="en-US" w:eastAsia="zh-CN"/>
        </w:rPr>
        <w:t>（3）在市级环卫</w:t>
      </w:r>
      <w:r>
        <w:rPr>
          <w:rFonts w:hint="eastAsia" w:ascii="宋体" w:hAnsi="宋体" w:cs="宋体"/>
          <w:sz w:val="21"/>
          <w:szCs w:val="21"/>
          <w:highlight w:val="none"/>
          <w:u w:val="none"/>
        </w:rPr>
        <w:t>企业评估</w:t>
      </w:r>
      <w:r>
        <w:rPr>
          <w:rFonts w:hint="eastAsia" w:ascii="宋体" w:hAnsi="宋体" w:cs="宋体"/>
          <w:sz w:val="21"/>
          <w:szCs w:val="21"/>
          <w:highlight w:val="none"/>
          <w:u w:val="none"/>
          <w:lang w:val="en-US" w:eastAsia="zh-CN"/>
        </w:rPr>
        <w:t>中</w:t>
      </w:r>
      <w:r>
        <w:rPr>
          <w:rFonts w:hint="eastAsia" w:ascii="宋体" w:hAnsi="宋体" w:cs="宋体"/>
          <w:sz w:val="21"/>
          <w:szCs w:val="21"/>
          <w:highlight w:val="none"/>
          <w:u w:val="none"/>
        </w:rPr>
        <w:t>进入</w:t>
      </w:r>
      <w:r>
        <w:rPr>
          <w:rFonts w:hint="eastAsia" w:ascii="宋体" w:hAnsi="宋体" w:cs="宋体"/>
          <w:sz w:val="21"/>
          <w:szCs w:val="21"/>
          <w:highlight w:val="none"/>
          <w:u w:val="none"/>
          <w:lang w:val="en-US" w:eastAsia="zh-CN"/>
        </w:rPr>
        <w:t>作业优秀名单的，每次奖励</w:t>
      </w:r>
      <w:r>
        <w:rPr>
          <w:rFonts w:hint="eastAsia" w:ascii="宋体" w:hAnsi="宋体" w:cs="宋体"/>
          <w:sz w:val="21"/>
          <w:szCs w:val="21"/>
          <w:highlight w:val="none"/>
          <w:u w:val="none"/>
        </w:rPr>
        <w:t>_____元</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一年内</w:t>
      </w:r>
      <w:r>
        <w:rPr>
          <w:rFonts w:hint="eastAsia" w:ascii="宋体" w:hAnsi="宋体" w:cs="宋体"/>
          <w:sz w:val="21"/>
          <w:szCs w:val="21"/>
          <w:highlight w:val="none"/>
          <w:u w:val="none"/>
        </w:rPr>
        <w:t>两次</w:t>
      </w:r>
      <w:r>
        <w:rPr>
          <w:rFonts w:hint="eastAsia" w:ascii="宋体" w:hAnsi="宋体" w:cs="宋体"/>
          <w:sz w:val="21"/>
          <w:szCs w:val="21"/>
          <w:highlight w:val="none"/>
          <w:u w:val="none"/>
          <w:lang w:val="en-US" w:eastAsia="zh-CN"/>
        </w:rPr>
        <w:t>进入作业优秀名单</w:t>
      </w:r>
      <w:r>
        <w:rPr>
          <w:rFonts w:hint="eastAsia" w:ascii="宋体" w:hAnsi="宋体" w:cs="宋体"/>
          <w:sz w:val="21"/>
          <w:szCs w:val="21"/>
          <w:highlight w:val="none"/>
          <w:u w:val="none"/>
        </w:rPr>
        <w:t>的，</w:t>
      </w:r>
      <w:r>
        <w:rPr>
          <w:rFonts w:hint="eastAsia" w:ascii="宋体" w:hAnsi="宋体" w:cs="宋体"/>
          <w:sz w:val="21"/>
          <w:szCs w:val="21"/>
          <w:highlight w:val="none"/>
          <w:u w:val="none"/>
          <w:lang w:val="en-US" w:eastAsia="zh-CN"/>
        </w:rPr>
        <w:t>下一年度应考虑优先续约</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在市级环卫</w:t>
      </w:r>
      <w:r>
        <w:rPr>
          <w:rFonts w:hint="eastAsia" w:ascii="宋体" w:hAnsi="宋体" w:cs="宋体"/>
          <w:sz w:val="21"/>
          <w:szCs w:val="21"/>
          <w:highlight w:val="none"/>
          <w:u w:val="none"/>
        </w:rPr>
        <w:t>企业评估</w:t>
      </w:r>
      <w:r>
        <w:rPr>
          <w:rFonts w:hint="eastAsia" w:ascii="宋体" w:hAnsi="宋体" w:cs="宋体"/>
          <w:sz w:val="21"/>
          <w:szCs w:val="21"/>
          <w:highlight w:val="none"/>
          <w:u w:val="none"/>
          <w:lang w:val="en-US" w:eastAsia="zh-CN"/>
        </w:rPr>
        <w:t>中进入重点监管名单</w:t>
      </w:r>
      <w:r>
        <w:rPr>
          <w:rFonts w:hint="eastAsia" w:ascii="宋体" w:hAnsi="宋体" w:cs="宋体"/>
          <w:sz w:val="21"/>
          <w:szCs w:val="21"/>
          <w:highlight w:val="none"/>
          <w:u w:val="none"/>
        </w:rPr>
        <w:t>的，每次扣除_____元；</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highlight w:val="none"/>
          <w:u w:val="none"/>
          <w:lang w:eastAsia="zh-CN"/>
        </w:rPr>
      </w:pPr>
      <w:r>
        <w:rPr>
          <w:rFonts w:hint="eastAsia" w:ascii="宋体" w:hAnsi="宋体" w:cs="宋体"/>
          <w:sz w:val="21"/>
          <w:szCs w:val="21"/>
          <w:highlight w:val="none"/>
          <w:u w:val="none"/>
          <w:lang w:val="en-US" w:eastAsia="zh-CN"/>
        </w:rPr>
        <w:t>3、乙方服务区域内出现环境卫生类</w:t>
      </w:r>
      <w:r>
        <w:rPr>
          <w:rFonts w:hint="eastAsia" w:ascii="宋体" w:hAnsi="宋体" w:eastAsia="宋体" w:cs="宋体"/>
          <w:color w:val="000000"/>
          <w:sz w:val="21"/>
          <w:szCs w:val="21"/>
          <w:highlight w:val="none"/>
          <w:u w:val="none"/>
        </w:rPr>
        <w:t>重大问题</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负面舆情、违法违规案件</w:t>
      </w:r>
      <w:r>
        <w:rPr>
          <w:rFonts w:hint="eastAsia" w:ascii="宋体" w:hAnsi="宋体" w:eastAsia="宋体" w:cs="宋体"/>
          <w:color w:val="000000"/>
          <w:sz w:val="21"/>
          <w:szCs w:val="21"/>
          <w:highlight w:val="none"/>
          <w:u w:val="none"/>
        </w:rPr>
        <w:t>，</w:t>
      </w:r>
      <w:r>
        <w:rPr>
          <w:rFonts w:hint="eastAsia" w:ascii="宋体" w:hAnsi="宋体" w:eastAsia="宋体" w:cs="宋体"/>
          <w:color w:val="000000"/>
          <w:sz w:val="21"/>
          <w:szCs w:val="21"/>
          <w:highlight w:val="none"/>
          <w:u w:val="none"/>
          <w:lang w:val="en-US" w:eastAsia="zh-CN"/>
        </w:rPr>
        <w:t>不满意投诉件、或上级领导、部门督办批示件的，甲方</w:t>
      </w:r>
      <w:r>
        <w:rPr>
          <w:rFonts w:hint="eastAsia" w:ascii="宋体" w:hAnsi="宋体" w:eastAsia="宋体" w:cs="宋体"/>
          <w:color w:val="000000"/>
          <w:sz w:val="21"/>
          <w:szCs w:val="21"/>
          <w:highlight w:val="none"/>
          <w:u w:val="none"/>
        </w:rPr>
        <w:t>有权要求</w:t>
      </w:r>
      <w:r>
        <w:rPr>
          <w:rFonts w:hint="eastAsia" w:ascii="宋体" w:hAnsi="宋体" w:eastAsia="宋体" w:cs="宋体"/>
          <w:color w:val="000000"/>
          <w:sz w:val="21"/>
          <w:szCs w:val="21"/>
          <w:highlight w:val="none"/>
          <w:u w:val="none"/>
          <w:lang w:eastAsia="zh-CN"/>
        </w:rPr>
        <w:t>乙方</w:t>
      </w:r>
      <w:r>
        <w:rPr>
          <w:rFonts w:hint="eastAsia" w:ascii="宋体" w:hAnsi="宋体" w:eastAsia="宋体" w:cs="宋体"/>
          <w:color w:val="000000"/>
          <w:sz w:val="21"/>
          <w:szCs w:val="21"/>
          <w:highlight w:val="none"/>
          <w:u w:val="none"/>
        </w:rPr>
        <w:t>限期予以整改，整改不到位的</w:t>
      </w:r>
      <w:r>
        <w:rPr>
          <w:rFonts w:hint="eastAsia" w:ascii="宋体" w:hAnsi="宋体" w:eastAsia="宋体" w:cs="宋体"/>
          <w:color w:val="000000"/>
          <w:sz w:val="21"/>
          <w:szCs w:val="21"/>
          <w:highlight w:val="none"/>
          <w:u w:val="none"/>
          <w:lang w:eastAsia="zh-CN"/>
        </w:rPr>
        <w:t>，甲方</w:t>
      </w:r>
      <w:r>
        <w:rPr>
          <w:rFonts w:hint="eastAsia" w:ascii="宋体" w:hAnsi="宋体" w:eastAsia="宋体" w:cs="宋体"/>
          <w:color w:val="000000"/>
          <w:sz w:val="21"/>
          <w:szCs w:val="21"/>
          <w:highlight w:val="none"/>
          <w:u w:val="none"/>
        </w:rPr>
        <w:t>将视违规情况按照每月费用总额的_____%进行处罚</w:t>
      </w:r>
      <w:r>
        <w:rPr>
          <w:rFonts w:hint="eastAsia" w:ascii="宋体" w:hAnsi="宋体" w:eastAsia="宋体" w:cs="宋体"/>
          <w:color w:val="000000"/>
          <w:sz w:val="21"/>
          <w:szCs w:val="21"/>
          <w:highlight w:val="none"/>
          <w:u w:val="none"/>
          <w:lang w:eastAsia="zh-CN"/>
        </w:rPr>
        <w:t>。</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rPr>
        <w:t>、</w:t>
      </w:r>
      <w:r>
        <w:rPr>
          <w:rFonts w:hint="eastAsia" w:ascii="宋体" w:hAnsi="宋体" w:cs="宋体"/>
          <w:sz w:val="21"/>
          <w:szCs w:val="21"/>
          <w:highlight w:val="none"/>
          <w:u w:val="none"/>
          <w:lang w:val="en-US" w:eastAsia="zh-CN"/>
        </w:rPr>
        <w:t>乙方存在以下情形的，甲方有权提前终止合同：</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（1）环卫作业资质不真实或过期未及时补办的。</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（2）发现在招标过程中弄虚作假、谋取中标的。</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（3）对甲方合同履约管理、相关行业主管部门监管或市、区、街相关检查考核不服从、不配合的。</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rPr>
        <w:t>（</w:t>
      </w:r>
      <w:r>
        <w:rPr>
          <w:rFonts w:hint="eastAsia" w:ascii="宋体" w:hAnsi="宋体" w:cs="宋体"/>
          <w:sz w:val="21"/>
          <w:szCs w:val="21"/>
          <w:highlight w:val="none"/>
          <w:u w:val="none"/>
          <w:lang w:val="en-US" w:eastAsia="zh-CN"/>
        </w:rPr>
        <w:t>4</w:t>
      </w:r>
      <w:r>
        <w:rPr>
          <w:rFonts w:hint="eastAsia" w:ascii="宋体" w:hAnsi="宋体" w:cs="宋体"/>
          <w:sz w:val="21"/>
          <w:szCs w:val="21"/>
          <w:highlight w:val="none"/>
          <w:u w:val="none"/>
        </w:rPr>
        <w:t>）在</w:t>
      </w:r>
      <w:r>
        <w:rPr>
          <w:rFonts w:hint="eastAsia" w:ascii="宋体" w:hAnsi="宋体" w:cs="宋体"/>
          <w:sz w:val="21"/>
          <w:szCs w:val="21"/>
          <w:highlight w:val="none"/>
          <w:u w:val="none"/>
          <w:lang w:val="en-US" w:eastAsia="zh-CN"/>
        </w:rPr>
        <w:t>服务合同有效期内</w:t>
      </w:r>
      <w:r>
        <w:rPr>
          <w:rFonts w:hint="eastAsia" w:ascii="宋体" w:hAnsi="宋体" w:cs="宋体"/>
          <w:sz w:val="21"/>
          <w:szCs w:val="21"/>
          <w:highlight w:val="none"/>
          <w:u w:val="none"/>
        </w:rPr>
        <w:t>发现</w:t>
      </w:r>
      <w:r>
        <w:rPr>
          <w:rFonts w:hint="eastAsia" w:ascii="宋体" w:hAnsi="宋体" w:cs="宋体"/>
          <w:sz w:val="21"/>
          <w:szCs w:val="21"/>
          <w:highlight w:val="none"/>
          <w:u w:val="none"/>
          <w:lang w:eastAsia="zh-CN"/>
        </w:rPr>
        <w:t>乙方</w:t>
      </w:r>
      <w:r>
        <w:rPr>
          <w:rFonts w:hint="eastAsia" w:ascii="宋体" w:hAnsi="宋体" w:cs="宋体"/>
          <w:sz w:val="21"/>
          <w:szCs w:val="21"/>
          <w:highlight w:val="none"/>
          <w:u w:val="none"/>
        </w:rPr>
        <w:t>将中标路段的</w:t>
      </w:r>
      <w:r>
        <w:rPr>
          <w:rFonts w:hint="eastAsia" w:ascii="宋体" w:hAnsi="宋体" w:cs="宋体"/>
          <w:sz w:val="21"/>
          <w:szCs w:val="21"/>
          <w:highlight w:val="none"/>
          <w:u w:val="none"/>
          <w:lang w:val="en-US" w:eastAsia="zh-CN"/>
        </w:rPr>
        <w:t>清扫、收运业务二次</w:t>
      </w:r>
      <w:r>
        <w:rPr>
          <w:rFonts w:hint="eastAsia" w:ascii="宋体" w:hAnsi="宋体" w:cs="宋体"/>
          <w:sz w:val="21"/>
          <w:szCs w:val="21"/>
          <w:highlight w:val="none"/>
          <w:u w:val="none"/>
        </w:rPr>
        <w:t>转包。</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eastAsia="zh-CN"/>
        </w:rPr>
      </w:pPr>
      <w:r>
        <w:rPr>
          <w:rFonts w:hint="eastAsia" w:ascii="宋体" w:hAnsi="宋体" w:cs="宋体"/>
          <w:sz w:val="21"/>
          <w:szCs w:val="21"/>
          <w:highlight w:val="none"/>
          <w:u w:val="none"/>
          <w:lang w:val="en-US" w:eastAsia="zh-CN"/>
        </w:rPr>
        <w:t>（5）甲方对乙方的作业质量检查考核，</w:t>
      </w:r>
      <w:r>
        <w:rPr>
          <w:rFonts w:hint="eastAsia" w:ascii="宋体" w:hAnsi="宋体" w:cs="宋体"/>
          <w:sz w:val="21"/>
          <w:szCs w:val="21"/>
          <w:highlight w:val="none"/>
          <w:u w:val="none"/>
        </w:rPr>
        <w:t>累计_____个月或连续_____个月不达标</w:t>
      </w:r>
      <w:r>
        <w:rPr>
          <w:rFonts w:hint="eastAsia" w:ascii="宋体" w:hAnsi="宋体" w:cs="宋体"/>
          <w:sz w:val="21"/>
          <w:szCs w:val="21"/>
          <w:highlight w:val="none"/>
          <w:u w:val="none"/>
          <w:lang w:val="en-US" w:eastAsia="zh-CN"/>
        </w:rPr>
        <w:t>的</w:t>
      </w:r>
      <w:r>
        <w:rPr>
          <w:rFonts w:hint="eastAsia" w:ascii="宋体" w:hAnsi="宋体" w:cs="宋体"/>
          <w:sz w:val="21"/>
          <w:szCs w:val="21"/>
          <w:highlight w:val="none"/>
          <w:u w:val="none"/>
        </w:rPr>
        <w:t>。</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eastAsia="zh-CN"/>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6</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人员、车辆配置或环卫工人福利待遇保障未达到招标需求，且经甲方书面督促后仍整改不到位的。</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7</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对甲方指挥调度不予响应或落实不力造成不良影响，累计达到____次的。</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eastAsia="zh-CN"/>
        </w:rPr>
      </w:pPr>
      <w:r>
        <w:rPr>
          <w:rFonts w:hint="eastAsia" w:ascii="宋体" w:hAnsi="宋体" w:cs="宋体"/>
          <w:sz w:val="21"/>
          <w:szCs w:val="21"/>
          <w:highlight w:val="none"/>
          <w:u w:val="none"/>
          <w:lang w:val="en-US" w:eastAsia="zh-CN"/>
        </w:rPr>
        <w:t>（8）服务区域</w:t>
      </w:r>
      <w:r>
        <w:rPr>
          <w:rFonts w:hint="eastAsia" w:ascii="宋体" w:hAnsi="宋体" w:cs="宋体"/>
          <w:sz w:val="21"/>
          <w:szCs w:val="21"/>
          <w:highlight w:val="none"/>
          <w:u w:val="none"/>
        </w:rPr>
        <w:t>在</w:t>
      </w:r>
      <w:r>
        <w:rPr>
          <w:rFonts w:hint="eastAsia" w:ascii="宋体" w:hAnsi="宋体" w:cs="宋体"/>
          <w:sz w:val="21"/>
          <w:szCs w:val="21"/>
          <w:highlight w:val="none"/>
          <w:u w:val="none"/>
          <w:lang w:val="en-US" w:eastAsia="zh-CN"/>
        </w:rPr>
        <w:t>市级</w:t>
      </w:r>
      <w:r>
        <w:rPr>
          <w:rFonts w:hint="eastAsia" w:ascii="宋体" w:hAnsi="宋体" w:cs="宋体"/>
          <w:sz w:val="21"/>
          <w:szCs w:val="21"/>
          <w:highlight w:val="none"/>
          <w:u w:val="none"/>
        </w:rPr>
        <w:t>考评</w:t>
      </w:r>
      <w:r>
        <w:rPr>
          <w:rFonts w:hint="eastAsia" w:ascii="宋体" w:hAnsi="宋体" w:cs="宋体"/>
          <w:sz w:val="21"/>
          <w:szCs w:val="21"/>
          <w:highlight w:val="none"/>
          <w:u w:val="none"/>
          <w:lang w:val="en-US" w:eastAsia="zh-CN"/>
        </w:rPr>
        <w:t>中</w:t>
      </w:r>
      <w:r>
        <w:rPr>
          <w:rFonts w:hint="eastAsia" w:ascii="宋体" w:hAnsi="宋体" w:cs="宋体"/>
          <w:sz w:val="21"/>
          <w:szCs w:val="21"/>
          <w:highlight w:val="none"/>
          <w:u w:val="none"/>
        </w:rPr>
        <w:t>成绩</w:t>
      </w:r>
      <w:r>
        <w:rPr>
          <w:rFonts w:hint="eastAsia" w:ascii="宋体" w:hAnsi="宋体" w:cs="宋体"/>
          <w:sz w:val="21"/>
          <w:szCs w:val="21"/>
          <w:highlight w:val="none"/>
          <w:u w:val="none"/>
          <w:lang w:val="en-US" w:eastAsia="zh-CN"/>
        </w:rPr>
        <w:t>累计_____次或</w:t>
      </w:r>
      <w:r>
        <w:rPr>
          <w:rFonts w:hint="eastAsia" w:ascii="宋体" w:hAnsi="宋体" w:cs="宋体"/>
          <w:sz w:val="21"/>
          <w:szCs w:val="21"/>
          <w:highlight w:val="none"/>
          <w:u w:val="none"/>
        </w:rPr>
        <w:t>连续</w:t>
      </w:r>
      <w:r>
        <w:rPr>
          <w:rFonts w:hint="eastAsia" w:ascii="宋体" w:hAnsi="宋体" w:cs="宋体"/>
          <w:sz w:val="21"/>
          <w:szCs w:val="21"/>
          <w:highlight w:val="none"/>
          <w:u w:val="none"/>
          <w:lang w:val="en-US" w:eastAsia="zh-CN"/>
        </w:rPr>
        <w:t>_____</w:t>
      </w:r>
      <w:r>
        <w:rPr>
          <w:rFonts w:hint="eastAsia" w:ascii="宋体" w:hAnsi="宋体" w:cs="宋体"/>
          <w:sz w:val="21"/>
          <w:szCs w:val="21"/>
          <w:highlight w:val="none"/>
          <w:u w:val="none"/>
        </w:rPr>
        <w:t>次倒数第</w:t>
      </w:r>
      <w:r>
        <w:rPr>
          <w:rFonts w:hint="eastAsia" w:ascii="宋体" w:hAnsi="宋体" w:cs="宋体"/>
          <w:sz w:val="21"/>
          <w:szCs w:val="21"/>
          <w:highlight w:val="none"/>
          <w:u w:val="none"/>
          <w:lang w:val="en-US" w:eastAsia="zh-CN"/>
        </w:rPr>
        <w:t>_____</w:t>
      </w:r>
      <w:r>
        <w:rPr>
          <w:rFonts w:hint="eastAsia" w:ascii="宋体" w:hAnsi="宋体" w:cs="宋体"/>
          <w:sz w:val="21"/>
          <w:szCs w:val="21"/>
          <w:highlight w:val="none"/>
          <w:u w:val="none"/>
        </w:rPr>
        <w:t>名及以下的</w:t>
      </w:r>
      <w:r>
        <w:rPr>
          <w:rFonts w:hint="eastAsia" w:ascii="宋体" w:hAnsi="宋体" w:cs="宋体"/>
          <w:sz w:val="21"/>
          <w:szCs w:val="21"/>
          <w:highlight w:val="none"/>
          <w:u w:val="none"/>
          <w:lang w:val="en-US" w:eastAsia="zh-CN"/>
        </w:rPr>
        <w:t>,或平均得分累计_____次或</w:t>
      </w:r>
      <w:r>
        <w:rPr>
          <w:rFonts w:hint="eastAsia" w:ascii="宋体" w:hAnsi="宋体" w:cs="宋体"/>
          <w:sz w:val="21"/>
          <w:szCs w:val="21"/>
          <w:highlight w:val="none"/>
          <w:u w:val="none"/>
        </w:rPr>
        <w:t>连续</w:t>
      </w:r>
      <w:r>
        <w:rPr>
          <w:rFonts w:hint="eastAsia" w:ascii="宋体" w:hAnsi="宋体" w:cs="宋体"/>
          <w:sz w:val="21"/>
          <w:szCs w:val="21"/>
          <w:highlight w:val="none"/>
          <w:u w:val="none"/>
          <w:lang w:val="en-US" w:eastAsia="zh-CN"/>
        </w:rPr>
        <w:t>_____</w:t>
      </w:r>
      <w:r>
        <w:rPr>
          <w:rFonts w:hint="eastAsia" w:ascii="宋体" w:hAnsi="宋体" w:cs="宋体"/>
          <w:sz w:val="21"/>
          <w:szCs w:val="21"/>
          <w:highlight w:val="none"/>
          <w:u w:val="none"/>
        </w:rPr>
        <w:t>次</w:t>
      </w:r>
      <w:r>
        <w:rPr>
          <w:rFonts w:hint="eastAsia" w:ascii="宋体" w:hAnsi="宋体" w:cs="宋体"/>
          <w:sz w:val="21"/>
          <w:szCs w:val="21"/>
          <w:highlight w:val="none"/>
          <w:u w:val="none"/>
          <w:lang w:val="en-US" w:eastAsia="zh-CN"/>
        </w:rPr>
        <w:t>低于</w:t>
      </w:r>
      <w:r>
        <w:rPr>
          <w:rFonts w:hint="eastAsia" w:ascii="宋体" w:hAnsi="宋体" w:cs="宋体"/>
          <w:sz w:val="21"/>
          <w:szCs w:val="21"/>
          <w:highlight w:val="none"/>
          <w:u w:val="none"/>
        </w:rPr>
        <w:t>_____分的</w:t>
      </w:r>
      <w:r>
        <w:rPr>
          <w:rFonts w:hint="eastAsia" w:ascii="宋体" w:hAnsi="宋体" w:cs="宋体"/>
          <w:sz w:val="21"/>
          <w:szCs w:val="21"/>
          <w:highlight w:val="none"/>
          <w:u w:val="none"/>
          <w:lang w:eastAsia="zh-CN"/>
        </w:rPr>
        <w:t>。</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9</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一年内2</w:t>
      </w:r>
      <w:r>
        <w:rPr>
          <w:rFonts w:hint="eastAsia" w:ascii="宋体" w:hAnsi="宋体" w:cs="宋体"/>
          <w:sz w:val="21"/>
          <w:szCs w:val="21"/>
          <w:highlight w:val="none"/>
          <w:u w:val="none"/>
        </w:rPr>
        <w:t>次</w:t>
      </w:r>
      <w:r>
        <w:rPr>
          <w:rFonts w:hint="eastAsia" w:ascii="宋体" w:hAnsi="宋体" w:cs="宋体"/>
          <w:sz w:val="21"/>
          <w:szCs w:val="21"/>
          <w:highlight w:val="none"/>
          <w:u w:val="none"/>
          <w:lang w:val="en-US" w:eastAsia="zh-CN"/>
        </w:rPr>
        <w:t>进入市级企业评估重点监管名单</w:t>
      </w:r>
      <w:r>
        <w:rPr>
          <w:rFonts w:hint="eastAsia" w:ascii="宋体" w:hAnsi="宋体" w:cs="宋体"/>
          <w:sz w:val="21"/>
          <w:szCs w:val="21"/>
          <w:highlight w:val="none"/>
          <w:u w:val="none"/>
        </w:rPr>
        <w:t>的，</w:t>
      </w:r>
      <w:r>
        <w:rPr>
          <w:rFonts w:hint="eastAsia" w:ascii="宋体" w:hAnsi="宋体" w:cs="宋体"/>
          <w:sz w:val="21"/>
          <w:szCs w:val="21"/>
          <w:highlight w:val="none"/>
          <w:u w:val="none"/>
          <w:lang w:eastAsia="zh-CN"/>
        </w:rPr>
        <w:t>甲方</w:t>
      </w:r>
      <w:r>
        <w:rPr>
          <w:rFonts w:hint="eastAsia" w:ascii="宋体" w:hAnsi="宋体" w:cs="宋体"/>
          <w:sz w:val="21"/>
          <w:szCs w:val="21"/>
          <w:highlight w:val="none"/>
          <w:u w:val="none"/>
        </w:rPr>
        <w:t>有权</w:t>
      </w:r>
      <w:r>
        <w:rPr>
          <w:rFonts w:hint="eastAsia" w:ascii="宋体" w:hAnsi="宋体" w:eastAsia="宋体" w:cs="宋体"/>
          <w:color w:val="000000"/>
          <w:sz w:val="21"/>
          <w:szCs w:val="21"/>
          <w:highlight w:val="none"/>
          <w:u w:val="none"/>
        </w:rPr>
        <w:t>终止</w:t>
      </w:r>
      <w:r>
        <w:rPr>
          <w:rFonts w:hint="eastAsia" w:ascii="宋体" w:hAnsi="宋体" w:cs="宋体"/>
          <w:sz w:val="21"/>
          <w:szCs w:val="21"/>
          <w:highlight w:val="none"/>
          <w:u w:val="none"/>
        </w:rPr>
        <w:t>合同。</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color w:val="000000"/>
          <w:sz w:val="21"/>
          <w:szCs w:val="21"/>
          <w:highlight w:val="none"/>
          <w:u w:val="none"/>
        </w:rPr>
      </w:pP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10</w:t>
      </w:r>
      <w:r>
        <w:rPr>
          <w:rFonts w:hint="eastAsia" w:ascii="宋体" w:hAnsi="宋体" w:cs="宋体"/>
          <w:sz w:val="21"/>
          <w:szCs w:val="21"/>
          <w:highlight w:val="none"/>
          <w:u w:val="none"/>
          <w:lang w:eastAsia="zh-CN"/>
        </w:rPr>
        <w:t>）</w:t>
      </w:r>
      <w:r>
        <w:rPr>
          <w:rFonts w:hint="eastAsia" w:ascii="宋体" w:hAnsi="宋体" w:cs="宋体"/>
          <w:sz w:val="21"/>
          <w:szCs w:val="21"/>
          <w:highlight w:val="none"/>
          <w:u w:val="none"/>
          <w:lang w:val="en-US" w:eastAsia="zh-CN"/>
        </w:rPr>
        <w:t>服务区域</w:t>
      </w:r>
      <w:r>
        <w:rPr>
          <w:rFonts w:hint="eastAsia" w:ascii="宋体" w:hAnsi="宋体" w:eastAsia="宋体" w:cs="宋体"/>
          <w:color w:val="000000"/>
          <w:sz w:val="21"/>
          <w:szCs w:val="21"/>
          <w:highlight w:val="none"/>
          <w:u w:val="none"/>
        </w:rPr>
        <w:t>出现</w:t>
      </w:r>
      <w:r>
        <w:rPr>
          <w:rFonts w:hint="eastAsia" w:ascii="宋体" w:hAnsi="宋体" w:eastAsia="宋体" w:cs="宋体"/>
          <w:color w:val="000000"/>
          <w:sz w:val="21"/>
          <w:szCs w:val="21"/>
          <w:highlight w:val="none"/>
          <w:u w:val="none"/>
          <w:lang w:val="en-US" w:eastAsia="zh-CN"/>
        </w:rPr>
        <w:t>3</w:t>
      </w:r>
      <w:r>
        <w:rPr>
          <w:rFonts w:hint="eastAsia" w:ascii="宋体" w:hAnsi="宋体" w:eastAsia="宋体" w:cs="宋体"/>
          <w:color w:val="000000"/>
          <w:sz w:val="21"/>
          <w:szCs w:val="21"/>
          <w:highlight w:val="none"/>
          <w:u w:val="none"/>
        </w:rPr>
        <w:t>次</w:t>
      </w:r>
      <w:r>
        <w:rPr>
          <w:rFonts w:hint="eastAsia" w:ascii="宋体" w:hAnsi="宋体" w:cs="宋体"/>
          <w:sz w:val="21"/>
          <w:szCs w:val="21"/>
          <w:highlight w:val="none"/>
          <w:u w:val="none"/>
          <w:lang w:val="en-US" w:eastAsia="zh-CN"/>
        </w:rPr>
        <w:t>环境卫生类</w:t>
      </w:r>
      <w:r>
        <w:rPr>
          <w:rFonts w:hint="eastAsia" w:ascii="宋体" w:hAnsi="宋体" w:eastAsia="宋体" w:cs="宋体"/>
          <w:color w:val="000000"/>
          <w:sz w:val="21"/>
          <w:szCs w:val="21"/>
          <w:highlight w:val="none"/>
          <w:u w:val="none"/>
        </w:rPr>
        <w:t>重大问题</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负面舆情、违法违规案件</w:t>
      </w:r>
      <w:r>
        <w:rPr>
          <w:rFonts w:hint="eastAsia" w:ascii="宋体" w:hAnsi="宋体" w:eastAsia="宋体" w:cs="宋体"/>
          <w:color w:val="000000"/>
          <w:sz w:val="21"/>
          <w:szCs w:val="21"/>
          <w:highlight w:val="none"/>
          <w:u w:val="none"/>
        </w:rPr>
        <w:t>，</w:t>
      </w:r>
      <w:r>
        <w:rPr>
          <w:rFonts w:hint="eastAsia" w:ascii="宋体" w:hAnsi="宋体" w:eastAsia="宋体" w:cs="宋体"/>
          <w:color w:val="000000"/>
          <w:sz w:val="21"/>
          <w:szCs w:val="21"/>
          <w:highlight w:val="none"/>
          <w:u w:val="none"/>
          <w:lang w:val="en-US" w:eastAsia="zh-CN"/>
        </w:rPr>
        <w:t>不满意投诉件、或上级督办批示件的</w:t>
      </w:r>
      <w:r>
        <w:rPr>
          <w:rFonts w:hint="eastAsia" w:ascii="宋体" w:hAnsi="宋体" w:eastAsia="宋体" w:cs="宋体"/>
          <w:color w:val="000000"/>
          <w:sz w:val="21"/>
          <w:szCs w:val="21"/>
          <w:highlight w:val="none"/>
          <w:u w:val="none"/>
        </w:rPr>
        <w:t>。</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highlight w:val="none"/>
          <w:u w:val="none"/>
          <w:lang w:val="en-US" w:eastAsia="zh-CN"/>
        </w:rPr>
      </w:pPr>
      <w:r>
        <w:rPr>
          <w:rFonts w:hint="eastAsia" w:ascii="宋体" w:hAnsi="宋体" w:cs="宋体"/>
          <w:sz w:val="21"/>
          <w:szCs w:val="21"/>
          <w:highlight w:val="none"/>
          <w:u w:val="none"/>
          <w:lang w:val="en-US" w:eastAsia="zh-CN"/>
        </w:rPr>
        <w:t>（11）</w:t>
      </w:r>
      <w:r>
        <w:rPr>
          <w:rFonts w:hint="eastAsia" w:ascii="宋体" w:hAnsi="宋体" w:eastAsia="宋体" w:cs="宋体"/>
          <w:color w:val="000000"/>
          <w:sz w:val="21"/>
          <w:szCs w:val="21"/>
          <w:highlight w:val="none"/>
        </w:rPr>
        <w:t>乙方</w:t>
      </w:r>
      <w:r>
        <w:rPr>
          <w:rFonts w:hint="eastAsia" w:ascii="宋体" w:hAnsi="宋体" w:eastAsia="宋体" w:cs="宋体"/>
          <w:color w:val="000000"/>
          <w:sz w:val="21"/>
          <w:szCs w:val="21"/>
          <w:highlight w:val="none"/>
          <w:lang w:val="en-US" w:eastAsia="zh-CN"/>
        </w:rPr>
        <w:t>符合环卫企业信用评级</w:t>
      </w:r>
      <w:r>
        <w:rPr>
          <w:rFonts w:hint="eastAsia" w:ascii="宋体" w:hAnsi="宋体" w:eastAsia="宋体" w:cs="宋体"/>
          <w:color w:val="000000"/>
          <w:sz w:val="21"/>
          <w:szCs w:val="21"/>
          <w:highlight w:val="none"/>
        </w:rPr>
        <w:t>参评条件</w:t>
      </w:r>
      <w:r>
        <w:rPr>
          <w:rFonts w:hint="eastAsia" w:ascii="宋体" w:hAnsi="宋体" w:eastAsia="宋体" w:cs="宋体"/>
          <w:color w:val="000000"/>
          <w:sz w:val="21"/>
          <w:szCs w:val="21"/>
          <w:highlight w:val="none"/>
          <w:lang w:val="en-US" w:eastAsia="zh-CN"/>
        </w:rPr>
        <w:t>但</w:t>
      </w:r>
      <w:r>
        <w:rPr>
          <w:rFonts w:hint="eastAsia" w:ascii="宋体" w:hAnsi="宋体" w:eastAsia="宋体" w:cs="宋体"/>
          <w:color w:val="000000"/>
          <w:sz w:val="21"/>
          <w:szCs w:val="21"/>
          <w:highlight w:val="none"/>
        </w:rPr>
        <w:t>拒不参评的，</w:t>
      </w:r>
      <w:r>
        <w:rPr>
          <w:rFonts w:hint="eastAsia" w:ascii="宋体" w:hAnsi="宋体" w:eastAsia="宋体" w:cs="宋体"/>
          <w:color w:val="000000"/>
          <w:sz w:val="21"/>
          <w:szCs w:val="21"/>
          <w:highlight w:val="none"/>
          <w:lang w:val="en-US" w:eastAsia="zh-CN"/>
        </w:rPr>
        <w:t>或</w:t>
      </w:r>
      <w:r>
        <w:rPr>
          <w:rFonts w:hint="eastAsia" w:ascii="宋体" w:hAnsi="宋体" w:eastAsia="宋体" w:cs="宋体"/>
          <w:color w:val="000000"/>
          <w:sz w:val="21"/>
          <w:szCs w:val="21"/>
          <w:highlight w:val="none"/>
        </w:rPr>
        <w:t>乙方信用等级评价降至A级以下的，甲方有权终止合同</w:t>
      </w:r>
      <w:r>
        <w:rPr>
          <w:rFonts w:hint="eastAsia" w:ascii="宋体" w:hAnsi="宋体" w:eastAsia="宋体" w:cs="宋体"/>
          <w:color w:val="auto"/>
          <w:sz w:val="21"/>
          <w:szCs w:val="21"/>
          <w:highlight w:val="none"/>
        </w:rPr>
        <w:t>，并禁止乙方参与甲方单位招投标活动直至其信用等级</w:t>
      </w:r>
      <w:r>
        <w:rPr>
          <w:rFonts w:hint="eastAsia" w:ascii="宋体" w:hAnsi="宋体" w:eastAsia="宋体" w:cs="宋体"/>
          <w:color w:val="auto"/>
          <w:sz w:val="21"/>
          <w:szCs w:val="21"/>
          <w:highlight w:val="none"/>
          <w:lang w:val="en-US" w:eastAsia="zh-CN"/>
        </w:rPr>
        <w:t>达到</w:t>
      </w:r>
      <w:r>
        <w:rPr>
          <w:rFonts w:hint="eastAsia" w:ascii="宋体" w:hAnsi="宋体" w:eastAsia="宋体" w:cs="宋体"/>
          <w:color w:val="auto"/>
          <w:sz w:val="21"/>
          <w:szCs w:val="21"/>
          <w:highlight w:val="none"/>
        </w:rPr>
        <w:t>A级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w:t>
      </w:r>
    </w:p>
    <w:p>
      <w:pPr>
        <w:pStyle w:val="5"/>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cs="宋体"/>
          <w:sz w:val="21"/>
          <w:szCs w:val="21"/>
          <w:highlight w:val="none"/>
          <w:u w:val="none"/>
          <w:lang w:val="en-US" w:eastAsia="zh-CN"/>
        </w:rPr>
      </w:pPr>
      <w:r>
        <w:rPr>
          <w:rFonts w:hint="eastAsia" w:ascii="宋体" w:hAnsi="宋体" w:cs="宋体"/>
          <w:sz w:val="21"/>
          <w:szCs w:val="21"/>
          <w:highlight w:val="none"/>
          <w:u w:val="none"/>
          <w:lang w:val="en-US" w:eastAsia="zh-CN"/>
        </w:rPr>
        <w:t>（12）因乙方原因导致合同无法履行的</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Chars="200"/>
        <w:textAlignment w:val="auto"/>
        <w:rPr>
          <w:rFonts w:hint="eastAsia" w:ascii="宋体" w:hAnsi="宋体" w:eastAsia="宋体" w:cs="宋体"/>
          <w:b/>
          <w:bCs/>
          <w:color w:val="000000"/>
          <w:sz w:val="21"/>
          <w:szCs w:val="21"/>
          <w:highlight w:val="none"/>
          <w:u w:val="none"/>
        </w:rPr>
      </w:pPr>
      <w:r>
        <w:rPr>
          <w:rFonts w:hint="eastAsia" w:ascii="宋体" w:hAnsi="宋体" w:cs="宋体"/>
          <w:b/>
          <w:bCs/>
          <w:i w:val="0"/>
          <w:iCs w:val="0"/>
          <w:sz w:val="21"/>
          <w:szCs w:val="21"/>
          <w:highlight w:val="none"/>
          <w:u w:val="none"/>
          <w:lang w:val="en-US" w:eastAsia="zh-CN"/>
        </w:rPr>
        <w:t>注：甲乙双方可根据项目实际情况和研究协商结果，适当增减上述内容。</w:t>
      </w:r>
    </w:p>
    <w:p>
      <w:pPr>
        <w:pStyle w:val="4"/>
        <w:keepNext/>
        <w:keepLines/>
        <w:pageBreakBefore w:val="0"/>
        <w:widowControl w:val="0"/>
        <w:kinsoku/>
        <w:wordWrap/>
        <w:overflowPunct/>
        <w:topLinePunct w:val="0"/>
        <w:autoSpaceDE/>
        <w:autoSpaceDN/>
        <w:bidi w:val="0"/>
        <w:adjustRightInd/>
        <w:snapToGrid/>
        <w:spacing w:line="440" w:lineRule="exact"/>
        <w:ind w:left="0" w:leftChars="0" w:firstLine="421" w:firstLineChars="200"/>
        <w:jc w:val="both"/>
        <w:textAlignment w:val="auto"/>
        <w:rPr>
          <w:rFonts w:hint="eastAsia" w:ascii="宋体" w:hAnsi="宋体" w:eastAsia="宋体" w:cs="宋体"/>
          <w:b/>
          <w:bCs/>
          <w:sz w:val="21"/>
          <w:szCs w:val="21"/>
          <w:highlight w:val="none"/>
        </w:rPr>
      </w:pPr>
      <w:bookmarkStart w:id="15" w:name="_Toc23275"/>
      <w:r>
        <w:rPr>
          <w:rFonts w:hint="eastAsia" w:ascii="宋体" w:hAnsi="宋体" w:eastAsia="宋体" w:cs="宋体"/>
          <w:b/>
          <w:bCs/>
          <w:sz w:val="21"/>
          <w:szCs w:val="21"/>
          <w:highlight w:val="none"/>
        </w:rPr>
        <w:t>十六、其他事项</w:t>
      </w:r>
      <w:bookmarkEnd w:id="15"/>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1.本合同一式四份，</w:t>
      </w:r>
      <w:r>
        <w:rPr>
          <w:rFonts w:hint="eastAsia" w:ascii="宋体" w:hAnsi="宋体" w:eastAsia="宋体" w:cs="宋体"/>
          <w:color w:val="000000"/>
          <w:sz w:val="21"/>
          <w:szCs w:val="21"/>
          <w:highlight w:val="none"/>
          <w:u w:val="single"/>
        </w:rPr>
        <w:t xml:space="preserve"> 甲乙双方 </w:t>
      </w:r>
      <w:r>
        <w:rPr>
          <w:rFonts w:hint="eastAsia" w:ascii="宋体" w:hAnsi="宋体" w:eastAsia="宋体" w:cs="宋体"/>
          <w:color w:val="000000"/>
          <w:sz w:val="21"/>
          <w:szCs w:val="21"/>
          <w:highlight w:val="none"/>
        </w:rPr>
        <w:t>各执</w:t>
      </w:r>
      <w:r>
        <w:rPr>
          <w:rFonts w:hint="eastAsia" w:ascii="宋体" w:hAnsi="宋体" w:eastAsia="宋体" w:cs="宋体"/>
          <w:color w:val="000000"/>
          <w:sz w:val="21"/>
          <w:szCs w:val="21"/>
          <w:highlight w:val="none"/>
          <w:u w:val="single"/>
        </w:rPr>
        <w:t xml:space="preserve"> 贰 </w:t>
      </w:r>
      <w:r>
        <w:rPr>
          <w:rFonts w:hint="eastAsia" w:ascii="宋体" w:hAnsi="宋体" w:eastAsia="宋体" w:cs="宋体"/>
          <w:color w:val="000000"/>
          <w:sz w:val="21"/>
          <w:szCs w:val="21"/>
          <w:highlight w:val="none"/>
        </w:rPr>
        <w:t>份，具有同等法律效力。</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2.本合同在执行过程中如出现未尽事宜，甲乙双方在不违背本合同原则下协商解决的补充条款可作为本合同的附件，与本合同具有同等效力。</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3.其他约定事宜（如有，请补充）</w:t>
      </w:r>
      <w:r>
        <w:rPr>
          <w:rFonts w:hint="eastAsia" w:ascii="宋体" w:hAnsi="宋体" w:eastAsia="宋体" w:cs="宋体"/>
          <w:color w:val="000000"/>
          <w:sz w:val="21"/>
          <w:szCs w:val="21"/>
          <w:highlight w:val="none"/>
          <w:u w:val="single"/>
        </w:rPr>
        <w:t xml:space="preserve">              无              </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4.本协议自双方代表签字，双方单位盖章之日起生效。</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5.本合同的构成及解释优先顺序如下：</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（1）本合同签订后双方签订的有关合同变更的协议或者通知；</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（2）本合同及合同附件；</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（3）现行有效的法律法规、规范性文件和其他有关文件；</w:t>
      </w:r>
    </w:p>
    <w:p>
      <w:pPr>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（4）组成合同的其他文件。</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6.甲乙双方任何员工的言论和书面文件在经单位书面确认之前均不代表单位，甲乙双方的任何书面文件均需加盖单位公章方为有效。</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7.甲乙任何一方住所地(住址)、代表人 (联系人)、电话等联络方式如有变更，变更的一方应在变更后</w:t>
      </w:r>
      <w:r>
        <w:rPr>
          <w:rFonts w:hint="eastAsia" w:ascii="宋体" w:hAnsi="宋体" w:eastAsia="宋体" w:cs="宋体"/>
          <w:color w:val="FF0000"/>
          <w:sz w:val="21"/>
          <w:szCs w:val="21"/>
          <w:highlight w:val="none"/>
          <w:u w:val="single"/>
        </w:rPr>
        <w:t xml:space="preserve"> 3 </w:t>
      </w:r>
      <w:r>
        <w:rPr>
          <w:rFonts w:hint="eastAsia" w:ascii="宋体" w:hAnsi="宋体" w:eastAsia="宋体" w:cs="宋体"/>
          <w:color w:val="000000"/>
          <w:sz w:val="21"/>
          <w:szCs w:val="21"/>
          <w:highlight w:val="none"/>
        </w:rPr>
        <w:t>个工作日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p>
    <w:p>
      <w:pPr>
        <w:pStyle w:val="12"/>
        <w:pageBreakBefore w:val="0"/>
        <w:widowControl w:val="0"/>
        <w:kinsoku/>
        <w:wordWrap/>
        <w:overflowPunct/>
        <w:topLinePunct w:val="0"/>
        <w:autoSpaceDE/>
        <w:autoSpaceDN/>
        <w:bidi w:val="0"/>
        <w:spacing w:line="440" w:lineRule="exact"/>
        <w:ind w:left="0" w:leftChars="0" w:firstLine="420" w:firstLineChars="200"/>
        <w:rPr>
          <w:rFonts w:hint="eastAsia" w:ascii="宋体" w:hAnsi="宋体" w:eastAsia="宋体" w:cs="宋体"/>
          <w:sz w:val="21"/>
          <w:szCs w:val="21"/>
          <w:highlight w:val="none"/>
        </w:rPr>
      </w:pP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甲方（盖章）：                          乙方（盖章）</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代表人签字：                           代表人签字：</w:t>
      </w: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p>
    <w:p>
      <w:pPr>
        <w:pageBreakBefore w:val="0"/>
        <w:widowControl w:val="0"/>
        <w:tabs>
          <w:tab w:val="left" w:pos="1170"/>
        </w:tabs>
        <w:kinsoku/>
        <w:wordWrap/>
        <w:overflowPunct/>
        <w:topLinePunct w:val="0"/>
        <w:autoSpaceDE/>
        <w:autoSpaceDN/>
        <w:bidi w:val="0"/>
        <w:adjustRightInd w:val="0"/>
        <w:snapToGrid w:val="0"/>
        <w:spacing w:line="440" w:lineRule="exact"/>
        <w:ind w:left="0" w:leftChars="0"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年   月  日                             年   月   日</w:t>
      </w:r>
    </w:p>
    <w:p>
      <w:pPr>
        <w:pStyle w:val="2"/>
        <w:rPr>
          <w:highlight w:val="none"/>
        </w:rPr>
      </w:pPr>
      <w:r>
        <w:rPr>
          <w:highlight w:val="none"/>
        </w:rPr>
        <w:br w:type="page"/>
      </w:r>
    </w:p>
    <w:p>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default" w:eastAsia="宋体" w:cs="宋体"/>
          <w:b/>
          <w:bCs/>
          <w:sz w:val="21"/>
          <w:szCs w:val="21"/>
          <w:highlight w:val="none"/>
          <w:lang w:val="en-US" w:eastAsia="zh-CN"/>
        </w:rPr>
      </w:pPr>
      <w:bookmarkStart w:id="16" w:name="_Toc13395"/>
      <w:r>
        <w:rPr>
          <w:rFonts w:hint="eastAsia" w:eastAsia="宋体" w:cs="宋体"/>
          <w:b/>
          <w:bCs/>
          <w:sz w:val="21"/>
          <w:szCs w:val="21"/>
          <w:highlight w:val="none"/>
        </w:rPr>
        <w:t>附件1</w:t>
      </w:r>
      <w:r>
        <w:rPr>
          <w:rFonts w:hint="eastAsia" w:eastAsia="宋体" w:cs="宋体"/>
          <w:b/>
          <w:bCs/>
          <w:sz w:val="21"/>
          <w:szCs w:val="21"/>
          <w:highlight w:val="none"/>
          <w:lang w:eastAsia="zh-CN"/>
        </w:rPr>
        <w:t>：</w:t>
      </w:r>
      <w:r>
        <w:rPr>
          <w:rFonts w:hint="eastAsia" w:eastAsia="宋体" w:cs="宋体"/>
          <w:b/>
          <w:bCs/>
          <w:sz w:val="21"/>
          <w:szCs w:val="21"/>
          <w:highlight w:val="none"/>
        </w:rPr>
        <w:t>武汉市环境卫生精细化管理工作导则</w:t>
      </w:r>
      <w:r>
        <w:rPr>
          <w:rFonts w:hint="eastAsia" w:eastAsia="宋体" w:cs="宋体"/>
          <w:b/>
          <w:bCs/>
          <w:sz w:val="21"/>
          <w:szCs w:val="21"/>
          <w:highlight w:val="none"/>
          <w:lang w:val="en-US" w:eastAsia="zh-CN"/>
        </w:rPr>
        <w:t>-清扫保洁、垃圾收运</w:t>
      </w:r>
      <w:bookmarkEnd w:id="16"/>
    </w:p>
    <w:p>
      <w:pPr>
        <w:tabs>
          <w:tab w:val="left" w:pos="1170"/>
        </w:tabs>
        <w:adjustRightInd w:val="0"/>
        <w:snapToGrid w:val="0"/>
        <w:spacing w:line="440" w:lineRule="exact"/>
        <w:ind w:firstLine="481" w:firstLineChars="200"/>
        <w:textAlignment w:val="baseline"/>
        <w:rPr>
          <w:rFonts w:hint="eastAsia" w:ascii="仿宋" w:hAnsi="仿宋" w:eastAsia="仿宋" w:cs="仿宋"/>
          <w:b/>
          <w:bCs/>
          <w:snapToGrid w:val="0"/>
          <w:color w:val="000000"/>
          <w:sz w:val="24"/>
          <w:szCs w:val="24"/>
          <w:highlight w:val="none"/>
          <w:lang w:eastAsia="zh-CN"/>
        </w:rPr>
      </w:pPr>
      <w:r>
        <w:rPr>
          <w:rFonts w:hint="eastAsia" w:ascii="仿宋" w:hAnsi="仿宋" w:eastAsia="仿宋" w:cs="仿宋"/>
          <w:b/>
          <w:bCs/>
          <w:snapToGrid w:val="0"/>
          <w:color w:val="000000"/>
          <w:sz w:val="24"/>
          <w:szCs w:val="24"/>
          <w:highlight w:val="none"/>
          <w:lang w:eastAsia="zh-CN"/>
        </w:rPr>
        <w:t>（</w:t>
      </w:r>
      <w:r>
        <w:rPr>
          <w:rFonts w:hint="eastAsia" w:ascii="仿宋" w:hAnsi="仿宋" w:eastAsia="仿宋" w:cs="仿宋"/>
          <w:b/>
          <w:bCs/>
          <w:snapToGrid w:val="0"/>
          <w:color w:val="000000"/>
          <w:sz w:val="24"/>
          <w:szCs w:val="24"/>
          <w:highlight w:val="none"/>
          <w:lang w:val="en-US" w:eastAsia="zh-CN"/>
        </w:rPr>
        <w:t>注：采购人应根据合同签订时正在施行的规范标准，对附件进行动态更新</w:t>
      </w:r>
      <w:r>
        <w:rPr>
          <w:rFonts w:hint="eastAsia" w:ascii="仿宋" w:hAnsi="仿宋" w:eastAsia="仿宋" w:cs="仿宋"/>
          <w:b/>
          <w:bCs/>
          <w:snapToGrid w:val="0"/>
          <w:color w:val="000000"/>
          <w:sz w:val="24"/>
          <w:szCs w:val="24"/>
          <w:highlight w:val="none"/>
          <w:lang w:eastAsia="zh-CN"/>
        </w:rPr>
        <w:t>）</w:t>
      </w:r>
    </w:p>
    <w:p>
      <w:pPr>
        <w:pStyle w:val="12"/>
        <w:spacing w:after="0" w:line="440" w:lineRule="exact"/>
        <w:ind w:left="0" w:leftChars="0" w:firstLine="0" w:firstLineChars="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武汉市环境卫生精细化管理工作导则</w:t>
      </w:r>
    </w:p>
    <w:p>
      <w:pPr>
        <w:pStyle w:val="12"/>
        <w:spacing w:after="0" w:line="440" w:lineRule="exact"/>
        <w:ind w:left="0" w:leftChars="0" w:firstLine="0" w:firstLineChars="0"/>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清扫保洁、垃圾收运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jc w:val="center"/>
        <w:textAlignment w:val="auto"/>
        <w:rPr>
          <w:rFonts w:hint="eastAsia" w:ascii="宋体" w:hAnsi="宋体" w:eastAsia="宋体" w:cs="宋体"/>
          <w:b/>
          <w:bCs/>
          <w:sz w:val="21"/>
          <w:szCs w:val="21"/>
          <w:highlight w:val="none"/>
        </w:rPr>
      </w:pPr>
      <w:bookmarkStart w:id="17" w:name="_Toc27994"/>
      <w:r>
        <w:rPr>
          <w:rFonts w:hint="eastAsia" w:ascii="宋体" w:hAnsi="宋体" w:eastAsia="宋体" w:cs="宋体"/>
          <w:b/>
          <w:bCs/>
          <w:sz w:val="21"/>
          <w:szCs w:val="21"/>
          <w:highlight w:val="none"/>
        </w:rPr>
        <w:t>一、清扫保洁</w:t>
      </w:r>
      <w:bookmarkEnd w:id="17"/>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18" w:name="_Toc6520"/>
      <w:r>
        <w:rPr>
          <w:rFonts w:hint="eastAsia" w:ascii="宋体" w:hAnsi="宋体" w:eastAsia="宋体" w:cs="宋体"/>
          <w:b/>
          <w:bCs/>
          <w:sz w:val="21"/>
          <w:szCs w:val="21"/>
          <w:highlight w:val="none"/>
        </w:rPr>
        <w:t>（一）城市道路</w:t>
      </w:r>
      <w:bookmarkEnd w:id="18"/>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19" w:name="_Toc30775_WPSOffice_Level2"/>
      <w:r>
        <w:rPr>
          <w:rFonts w:hint="eastAsia" w:ascii="宋体" w:hAnsi="宋体" w:eastAsia="宋体" w:cs="宋体"/>
          <w:b/>
          <w:bCs/>
          <w:sz w:val="21"/>
          <w:szCs w:val="21"/>
          <w:highlight w:val="none"/>
        </w:rPr>
        <w:t>1.总体要求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保洁范围：对全市城市道路开展全域保洁，包括主次干道、背街小巷、高架桥、人行天桥、地下通道等区域的路面、道路附属设施、沿街绿化区域、桥下空间、匝道。</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管理要求：道路整体清洁，路面呈现本色，主次干道、高架桥、人行天桥、地下通道达到“四无四净见本色”，即无垃圾杂草、无污水污渍、无乱堆乱放、无容器占道，路面干净、站卧石人字沟干净、城市家具干净、垃圾容器干净，路见本色。背街小巷达到“三无三净”，即无垃圾杂草、无积尘淤泥、无乱堆乱放，路面干净、绿地树穴和花箱干净、垃圾容器干净。</w:t>
      </w:r>
    </w:p>
    <w:p>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特殊天气</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小到中雨天气且气温＞0℃时，对污染路段安排定点清洗，无污染路段或大到暴雨天气不安排清洗。冬季气温≤0℃时，停止跨江跨湖桥梁、沿江沿湖道路、高架桥、快速路等易结冰路段或全市所有道路清洗作业。</w:t>
      </w:r>
    </w:p>
    <w:p>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应急队伍：建立机动应急队伍，坚持进行日常巡查，随时发现、及时解决环境卫生存在问题，持续保持环境卫生干净整洁。</w:t>
      </w:r>
    </w:p>
    <w:bookmarkEnd w:id="19"/>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20" w:name="_Toc17326_WPSOffice_Level2"/>
      <w:bookmarkStart w:id="21" w:name="_Toc11100_WPSOffice_Level2"/>
      <w:r>
        <w:rPr>
          <w:rFonts w:hint="eastAsia" w:ascii="宋体" w:hAnsi="宋体" w:eastAsia="宋体" w:cs="宋体"/>
          <w:b/>
          <w:bCs/>
          <w:sz w:val="21"/>
          <w:szCs w:val="21"/>
          <w:highlight w:val="none"/>
        </w:rPr>
        <w:t>2.作业</w:t>
      </w:r>
      <w:bookmarkEnd w:id="20"/>
      <w:r>
        <w:rPr>
          <w:rFonts w:hint="eastAsia" w:ascii="宋体" w:hAnsi="宋体" w:eastAsia="宋体" w:cs="宋体"/>
          <w:b/>
          <w:bCs/>
          <w:sz w:val="21"/>
          <w:szCs w:val="21"/>
          <w:highlight w:val="none"/>
        </w:rPr>
        <w:t>规范</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——人工清扫</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（1）人工清扫包括普扫、巡回保洁等环节。普扫是指凌晨时段对城市道路进行的普遍清扫；巡回保洁是指普扫结束后，白天至上半夜时段巡回不间断打扫、捡拾，并对垃圾容器进行清洗、消杀。</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作业前应做好作业工具、设备的检查，确保功能完好；作业期间，工具应随身携带或存放于巡回保洁车，不得随意摆放影响市容观瞻；作业结束后，工具应在规定地点摆放整齐，相关设备、车辆不得乱停乱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普扫时，应按人行道路面、树穴及周边、沿街绿化带、车行道路面、雨水口的顺序依次进行、全面清洁。雨后或冲洗作业后的要先推水、后清扫；清扫人字沟周边区域时，应从两个雨水口向中间收堆；人行道扫至树穴处，应自树根部从里向外扫。</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清扫保洁时不得漏扫、扬扫、产生扬尘，刮风天气不得逆风清扫；不得将垃圾扫入雨水口（雨水箅子）、绿化带、河道、边沟等处；归堆的垃圾靠边打堆，及时清运或倒入容器，不得长期露天堆放；严禁焚烧树叶、杂草和生活垃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（5）推广使用小型巡回保洁设备，使用时遵守交规，不违法载人，不阻碍行人、车辆通行，行进速度不超过25km/h。</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——机械清扫</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（1）道路机械清扫应实行带水作业，避免扬尘，车速不超过25km/h，车辆吸力应充足；根据路面状况及时调整好吸扫车扫刷和吸口高度，做到有效清扫，避免空扫或扬尘。</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机械清扫作业时，吸扫车应沿车行道相同方向行进，重点清扫中央隔离带下方和道路两侧；结合道路宽度、车行道划分、道路分隔带设置等情况，机扫车沿道路两侧侧石平行作业，清除路面所有砂尘、废弃物。对吸扫车不能清除的垃圾，应及时下车清除，避免损坏扫刷。</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（3）机械清扫作业时，吸扫车应开启主喷嘴、边喷嘴、扫刷和吸污等装置，对路面进行清洗的同时，将路面遗留的污水污物扫至车辆吸污口吸入车厢内运走，不得造成路面积水或撒漏污水。</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（4）道路清扫保洁作业收集的垃圾和污水应存放、排放至指定场地，不得撒漏或违规排放。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——高压冲洗</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车行道机械冲洗应使用高压清洗车，作业区域覆盖全部车道，车辆沿道路中央车道行进，从路中央向道路两侧（或单侧）冲洗，将污水、污物冲向道路排水口一侧。作业车辆车速不得超过25km/h，喷水压力应≥300kPa。</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（2）人行道机械冲洗作业使用小型高压清洗车，对车辆、设备能够覆盖的区域全面清洗，将污水、污物冲向道路排水口一侧。</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（3）机械冲洗作业应安排在夜间22时至次日6时，特殊情况下需白天作业的，仅在车流、人流较少路段作业。不具备排水条件的道路，冲洗后的积水应吸扫干净。</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在餐饮夜市集中路段，使用小型高压清洗（去污）车冲洗路面油污，适当添加碱性制剂，使用60℃以上高温水，配合人工反复冲洗，直至路面见本色。在路边停车区域，使用小型高压清洗（去污）车冲洗车辆底部路面，将车底垃圾冲刷至周边区域后清扫收走。</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——雾洒降尘</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雾洒作业时应结合路面实际情况调整喷水方向和水压，喷出的水呈扇形、雾状，不应出现条状或水流，做到路面均匀覆盖、见潮不见水流。在有行人和非机动车的路段雾洒时，以及等待红绿灯时，及时调整水压，避免溅污。</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（2）机械洒水及喷雾作业时，车辆车速不得超过 25km/h。</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——道路附属设施保洁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先立面、后平面”顺序，先清洗交通附属设施（护栏、隔音屏、波纹板、隔离墩）和城市家具（公共箱、亭、棚、杆、牌）等立面设施，后清洗道路路面，每周开展1轮附属设施全区域、全要素、全方位深度保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（1）城市家具：高度1.5米以下的可用高压清洗车冲洗表面，再辅以人工清洗和擦拭；高度1.5米以上的可使用专用清洗车或带升降平台的高压清洗车配合人工清洗。清洗时应同步清除“三乱”，不留黏痕和印迹。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通护栏：护栏清洗车沿车行线方向对交通护栏进行全面清洗，同时开启高压清洗枪清洗中央黄线；清洗车清洗主刷高度应与交通护栏高度保持一致，保证护栏一次性清洗保洁到位；可随车配备1～2名保洁员，对护栏清洗车未洗净的地方进行补洗，并保持护栏摆放有序。</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隔音屏、波纹板：使用清洗车直接对内侧或内外双侧进行清洗；高压清洗车作业时，使用高压水枪对隔音屏、波纹板内侧进行冲洗；随车配备1～2名保洁员，对机械未洗净到的地方进行补充清洗，对积水进行清理。</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3.城市道路</w:t>
      </w:r>
      <w:bookmarkEnd w:id="21"/>
      <w:r>
        <w:rPr>
          <w:rFonts w:hint="eastAsia" w:ascii="宋体" w:hAnsi="宋体" w:eastAsia="宋体" w:cs="宋体"/>
          <w:b/>
          <w:bCs/>
          <w:sz w:val="21"/>
          <w:szCs w:val="21"/>
          <w:highlight w:val="none"/>
        </w:rPr>
        <w:t>分类作业要求</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——主次干道</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车行道：</w:t>
      </w:r>
      <w:r>
        <w:rPr>
          <w:rFonts w:hint="eastAsia" w:ascii="宋体" w:hAnsi="宋体" w:eastAsia="宋体" w:cs="宋体"/>
          <w:sz w:val="21"/>
          <w:szCs w:val="21"/>
          <w:highlight w:val="none"/>
        </w:rPr>
        <w:t>每天夜间1冲洗1吸扫、白天1雾洒，每周开展1轮车行道全区域、全要素、全方位深度保洁。夜间时段按照标准化程序进行清洗作业，白天时段对污染路段进行定点清洗，双向4车道以上宽距道路可安排多车辆梯次同步推进作业，做到见潮不见水。夜间限行路段利用白天时段或交管部门封闭管制时段开展清洗。</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人行道：</w:t>
      </w:r>
      <w:r>
        <w:rPr>
          <w:rFonts w:hint="eastAsia" w:ascii="宋体" w:hAnsi="宋体" w:eastAsia="宋体" w:cs="宋体"/>
          <w:sz w:val="21"/>
          <w:szCs w:val="21"/>
          <w:highlight w:val="none"/>
        </w:rPr>
        <w:t>每周开展1轮人行道全区域、全要素、全方位深度保洁。凌晨普扫时段进行清洗作业，清洗前先完成人工普扫和清运，再使用小型清洗车对路面、人字沟、站卧石全面清洗，具备条件的道路使用吸扫车收边。</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——背街小巷</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车行道：</w:t>
      </w:r>
      <w:r>
        <w:rPr>
          <w:rFonts w:hint="eastAsia" w:ascii="宋体" w:hAnsi="宋体" w:eastAsia="宋体" w:cs="宋体"/>
          <w:sz w:val="21"/>
          <w:szCs w:val="21"/>
          <w:highlight w:val="none"/>
        </w:rPr>
        <w:t>每天夜间1次冲洗、白天即脏即洗。</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人行道：</w:t>
      </w:r>
      <w:r>
        <w:rPr>
          <w:rFonts w:hint="eastAsia" w:ascii="宋体" w:hAnsi="宋体" w:eastAsia="宋体" w:cs="宋体"/>
          <w:sz w:val="21"/>
          <w:szCs w:val="21"/>
          <w:highlight w:val="none"/>
        </w:rPr>
        <w:t>每周1次清洗。</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22" w:name="_Toc11821"/>
      <w:bookmarkStart w:id="23" w:name="_Toc30775_WPSOffice_Level1"/>
      <w:r>
        <w:rPr>
          <w:rFonts w:hint="eastAsia" w:ascii="宋体" w:hAnsi="宋体" w:eastAsia="宋体" w:cs="宋体"/>
          <w:b/>
          <w:bCs/>
          <w:sz w:val="21"/>
          <w:szCs w:val="21"/>
          <w:highlight w:val="none"/>
        </w:rPr>
        <w:t>（二）公共区域</w:t>
      </w:r>
      <w:bookmarkEnd w:id="22"/>
      <w:bookmarkEnd w:id="23"/>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24" w:name="_Toc8996_WPSOffice_Level2"/>
      <w:bookmarkStart w:id="25" w:name="_Toc17380_WPSOffice_Level2"/>
      <w:r>
        <w:rPr>
          <w:rFonts w:hint="eastAsia" w:ascii="宋体" w:hAnsi="宋体" w:eastAsia="宋体" w:cs="宋体"/>
          <w:b/>
          <w:bCs/>
          <w:sz w:val="21"/>
          <w:szCs w:val="21"/>
          <w:highlight w:val="none"/>
        </w:rPr>
        <w:t>1.总体要求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强化监管：</w:t>
      </w:r>
      <w:r>
        <w:rPr>
          <w:rFonts w:hint="eastAsia" w:ascii="宋体" w:hAnsi="宋体" w:eastAsia="宋体" w:cs="宋体"/>
          <w:sz w:val="21"/>
          <w:szCs w:val="21"/>
          <w:highlight w:val="none"/>
        </w:rPr>
        <w:t>城管部门对全市公共区域环境卫生全覆盖监管，督促相关责任单位履行主体责任，落实常态化环卫管理要求。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公共区域保持整洁，无卫生死角，无乱扔乱倒垃圾，无垃圾积存，无污水污物，无乱堆乱放，无乱搭乱盖，无乱贴乱画，无焚烧垃圾。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多元同步：</w:t>
      </w:r>
      <w:r>
        <w:rPr>
          <w:rFonts w:hint="eastAsia" w:ascii="宋体" w:hAnsi="宋体" w:eastAsia="宋体" w:cs="宋体"/>
          <w:sz w:val="21"/>
          <w:szCs w:val="21"/>
          <w:highlight w:val="none"/>
        </w:rPr>
        <w:t>公共区域清扫保洁标准与城市道路保持一致；保洁区域与相邻城市道路无缝对接，确保无空白、无死角；保洁时间与相邻城市道路保持同步，早7:00前完成凌晨普扫及垃圾清运。</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bookmarkEnd w:id="24"/>
      <w:r>
        <w:rPr>
          <w:rFonts w:hint="eastAsia" w:ascii="宋体" w:hAnsi="宋体" w:eastAsia="宋体" w:cs="宋体"/>
          <w:b/>
          <w:bCs/>
          <w:sz w:val="21"/>
          <w:szCs w:val="21"/>
          <w:highlight w:val="none"/>
        </w:rPr>
        <w:t>公共区域作业要求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——“席地而坐”示范区域</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“席地而坐”示范片区应实施高标准保洁，落实重点区域、高峰时段保洁作业时空全覆盖，实现平面、立面、剖面“四无一见”，即无垃圾、无污迹、无污水、无积尘，见本色，道路尘土量少于10g/m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，园林绿化植物叶面洁净。</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实行“一路两侧、到墙到边，视线所及、一体保洁”作业模式，保洁范围延伸至沿路绿化带、公共绿地、人字沟、天桥下等区域卫生死角；公共区域7时前完成普扫。（2）实施扫、捡、冲、刷、洗、拔、捞、擦、吸、巡“十字作业法”。</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——建筑工地</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工地建设施工单位应保持工地内部及出入口周边环境整洁，无车轮带泥上路或路面泥尘污染现象，及时清除因工地出土造成的路面污染。</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全天2冲洗2吸扫3雾洒，污染点位随脏随洗；（2）重污染天气时，根据响应级别额外增加1-2次雾炮、雾洒或带水吸扫作业。（3）对工地出土路线加强检查，因车轮带泥上路、运输渣土跑冒滴漏造成路面污染的，应及时清理，恢复路面本色。</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——集贸市场</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市场运营单位保持市场内部及出入口周边环境整洁，地面和摊位设施干净整洁，无积水、无污迹，无废弃蔬菜、瓜果及散落垃圾，垃圾收集容器规范设置、外观洁净完好。</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市场保洁人员应开展凌晨保洁，与其周边道路清扫保洁时间保持一致，对生鲜等厨余垃圾、路面及人字沟积水、雨水篦子污物进行全面清理；（2）人流量较大时段应增配保洁人员，加大垃圾清理频次，同步做好厨余垃圾分类收集；（3）污染严重区域应采用具备加热功能的设备，喷洒高温含碱溶液，清除路面油污，采用小型清洗车辆冲洗停车区域路面。</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——商业街区</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物业企业保持商业街区路面无垃圾、无污迹、无杂物、无积水，路面、边角侧石、公共绿地、环卫设施和公共服务设施干净整洁；沿街门店（单位）不乱倒、乱排污水，门前无乱挂、乱张贴、乱涂写现象；绿化带花草、树木无挂带污物、杂物。</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（1）清扫保洁范围应与相邻责任区无缝对接，确保城市环境卫生保洁责任区域无空白、无交叉；（2）保洁作业时间应与其接壤的城市道路保洁作业时间同步，早7:00前完成凌晨普扫及垃圾清运。</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——公共绿地</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园林养护单位保持公共绿地无污垢及附着物、积水，内部各部位干净、整洁，路面不打滑；绿化带花草、树木无挂带污物、杂物；附属公共设施完好、表面清洁。</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（1）小型电动巡回保洁车与人工徒步相结合，开展路面垃圾清扫、垃圾容器和公共设施即脏即洗的巡回保洁作业；（2）及时清理绿化带暴露垃圾、枯枝败叶等园林垃圾。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——水域岸线</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管理要求：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水面无垃圾、水生植物和动物尸骸等漂浮物；码头、停靠船舶周边水域无成片漂浮物、水生植物，无悬挂垃圾；岸线、滩涂、护坡无垃圾堆积。</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（1）使用保洁作业船和专用保洁工具、设备，对水域岸线范围内的漂浮垃圾和废弃物等进行清除、打捞和收集；（2）按海事部门航行要求，规范作业；（3）水面垃圾、废弃物应分类收运。</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——居民小区</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社区及物业企业保持居民小区内路面整洁无浮土、烟头、纸屑、瓜果皮核、痰迹、渣土等垃圾杂物；绿化带无瓜果皮核、纸屑、包装筐（箱）、废纸盒、纸袋等杂物，花草、树木无挂带污物、杂物；房前屋后干净整洁，无乱堆乱放；建筑物屋顶保持整洁、美观，无杂物乱堆放，屋顶设施设备设置安装规范。</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（1）采取普扫与巡回保洁结合作业模式，实行即脏即洗的全天候保洁；（2）清扫保洁作业时间应与接壤的城市道路保洁作业时间同步，早7:00前完成凌晨普扫，其余时段进行巡回保洁。</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26" w:name="_Toc3729"/>
      <w:r>
        <w:rPr>
          <w:rFonts w:hint="eastAsia" w:ascii="宋体" w:hAnsi="宋体" w:eastAsia="宋体" w:cs="宋体"/>
          <w:b/>
          <w:bCs/>
          <w:sz w:val="21"/>
          <w:szCs w:val="21"/>
          <w:highlight w:val="none"/>
        </w:rPr>
        <w:t>（三）其他区域</w:t>
      </w:r>
      <w:bookmarkEnd w:id="26"/>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总体要求：</w:t>
      </w:r>
      <w:r>
        <w:rPr>
          <w:rFonts w:hint="eastAsia" w:ascii="宋体" w:hAnsi="宋体" w:eastAsia="宋体" w:cs="宋体"/>
          <w:sz w:val="21"/>
          <w:szCs w:val="21"/>
          <w:highlight w:val="none"/>
        </w:rPr>
        <w:t>市域范围内的其他区域，包括但不限于工地内部、搅拌站内部、医院内部等参照公共区域保洁。对于责任不明确的区域以及已使用但未移交的城市道路，由城管部门依法依规明确责任主体，督促落实环卫管理工作。</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应做到路面无垃圾杂草、无污水污渍、无乱堆乱放，无乱贴乱画，设施设备干净，路见本色。</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保洁作业时间应与其接壤的城市道路保洁作业时间同步，早7:00前完成垃圾收集；（2）应对保洁范围内的路面、设施等进行全面清扫保洁，作业范围与相邻责任区无缝对接，确保城市环境卫生保洁责任区域无空白、无交叉；（3）人流量增大、易污染区域应增加保洁人员、增配保洁设备。</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27" w:name="_Toc5322"/>
      <w:r>
        <w:rPr>
          <w:rFonts w:hint="eastAsia" w:ascii="宋体" w:hAnsi="宋体" w:eastAsia="宋体" w:cs="宋体"/>
          <w:b/>
          <w:bCs/>
          <w:sz w:val="21"/>
          <w:szCs w:val="21"/>
          <w:highlight w:val="none"/>
        </w:rPr>
        <w:t>（四）农村区域</w:t>
      </w:r>
      <w:bookmarkEnd w:id="27"/>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管理要求：</w:t>
      </w:r>
      <w:r>
        <w:rPr>
          <w:rFonts w:hint="eastAsia" w:ascii="宋体" w:hAnsi="宋体" w:eastAsia="宋体" w:cs="宋体"/>
          <w:sz w:val="21"/>
          <w:szCs w:val="21"/>
          <w:highlight w:val="none"/>
        </w:rPr>
        <w:t>农村公共区域保持整洁，无乱扔乱倒垃圾，无垃圾积存，无污水污物、无乱堆乱放，无乱搭乱盖，无乱贴乱画，无焚烧垃圾；村湾道路路面净、人字沟净；田间地头无暴露垃圾；房前屋后干净整洁，无乱堆乱放，无残枝败叶、无污水污渍；沟渠堰塘保持清洁，水流畅通，无黑臭水体，无漂浮垃圾，无有害浮游植物；电线杆、灯杆、桥栏、宣传展板、健身休闲器材等公共立面、公共设施无污渍、浮尘、涂鸦和非法宣传品等。</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作业规范：</w:t>
      </w:r>
      <w:r>
        <w:rPr>
          <w:rFonts w:hint="eastAsia" w:ascii="宋体" w:hAnsi="宋体" w:eastAsia="宋体" w:cs="宋体"/>
          <w:sz w:val="21"/>
          <w:szCs w:val="21"/>
          <w:highlight w:val="none"/>
        </w:rPr>
        <w:t>（1）村内道路采取全面清扫和捡拾保洁相结合的方式。主要道路全面清扫频次为1次/每天，其余道路全面清扫频次不低于1次/5天。村内道路捡拾保洁作业频次不低于2次/天、作业时间不低于3小时/天。（2）村内公共场所、公共设施、塘堰沟渠定期普扫，每日保洁，保持清洁卫生。（3）通过制定村规民约、与村民签订门前三包责任书、开展美丽庭院评选、环境卫生红黑榜等活动的方式，</w:t>
      </w:r>
      <w:r>
        <w:rPr>
          <w:rFonts w:hint="eastAsia" w:ascii="宋体" w:hAnsi="宋体" w:eastAsia="宋体" w:cs="宋体"/>
          <w:kern w:val="0"/>
          <w:sz w:val="21"/>
          <w:szCs w:val="21"/>
          <w:highlight w:val="none"/>
        </w:rPr>
        <w:t>引导村民明确责任义务，自觉维护房前屋后及公共区域环境卫生</w:t>
      </w:r>
      <w:r>
        <w:rPr>
          <w:rFonts w:hint="eastAsia" w:ascii="宋体" w:hAnsi="宋体" w:eastAsia="宋体" w:cs="宋体"/>
          <w:sz w:val="21"/>
          <w:szCs w:val="21"/>
          <w:highlight w:val="none"/>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highlight w:val="none"/>
        </w:rPr>
      </w:pPr>
    </w:p>
    <w:bookmarkEnd w:id="25"/>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jc w:val="center"/>
        <w:textAlignment w:val="auto"/>
        <w:rPr>
          <w:rFonts w:hint="eastAsia" w:ascii="宋体" w:hAnsi="宋体" w:eastAsia="宋体" w:cs="宋体"/>
          <w:b/>
          <w:bCs/>
          <w:sz w:val="21"/>
          <w:szCs w:val="21"/>
          <w:highlight w:val="none"/>
        </w:rPr>
      </w:pPr>
      <w:bookmarkStart w:id="28" w:name="_Toc17186"/>
      <w:bookmarkStart w:id="29" w:name="_Toc1655_WPSOffice_Level1"/>
      <w:bookmarkStart w:id="30" w:name="_Toc513730396"/>
      <w:bookmarkStart w:id="31" w:name="_Toc2968363"/>
      <w:r>
        <w:rPr>
          <w:rFonts w:hint="eastAsia" w:ascii="宋体" w:hAnsi="宋体" w:eastAsia="宋体" w:cs="宋体"/>
          <w:b/>
          <w:bCs/>
          <w:sz w:val="21"/>
          <w:szCs w:val="21"/>
          <w:highlight w:val="none"/>
        </w:rPr>
        <w:t>二、生活垃圾收运</w:t>
      </w:r>
      <w:bookmarkEnd w:id="28"/>
      <w:bookmarkEnd w:id="29"/>
    </w:p>
    <w:bookmarkEnd w:id="30"/>
    <w:bookmarkEnd w:id="31"/>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32" w:name="_Toc3967"/>
      <w:bookmarkStart w:id="33" w:name="_Toc23715_WPSOffice_Level2"/>
      <w:r>
        <w:rPr>
          <w:rFonts w:hint="eastAsia" w:ascii="宋体" w:hAnsi="宋体" w:eastAsia="宋体" w:cs="宋体"/>
          <w:b/>
          <w:bCs/>
          <w:sz w:val="21"/>
          <w:szCs w:val="21"/>
          <w:highlight w:val="none"/>
        </w:rPr>
        <w:t>（一）作业标准</w:t>
      </w:r>
      <w:bookmarkEnd w:id="32"/>
      <w:bookmarkEnd w:id="3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按照生活垃圾日产日清、清运及时的要求，实行分类收集、分类运输和分类处置，开展定制化服务，确保桶车同步，垃圾密闭化收运率、无害化处置率保持100%。</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34" w:name="_Toc5355"/>
      <w:bookmarkStart w:id="35" w:name="_Toc2912_WPSOffice_Level2"/>
      <w:r>
        <w:rPr>
          <w:rFonts w:hint="eastAsia" w:ascii="宋体" w:hAnsi="宋体" w:eastAsia="宋体" w:cs="宋体"/>
          <w:b/>
          <w:bCs/>
          <w:sz w:val="21"/>
          <w:szCs w:val="21"/>
          <w:highlight w:val="none"/>
        </w:rPr>
        <w:t>（二）生活垃圾收运要求</w:t>
      </w:r>
      <w:bookmarkEnd w:id="34"/>
      <w:bookmarkEnd w:id="35"/>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垃圾收运车应避开早晚高峰时段上路收运作业。中心城区、新城区城关地区（含新城区开发区）及连通中心城区（功能区）的主次干道等重点保障区域周边，早晚高峰时间段内（7:00-9:00、16:00-19:00），禁止将垃圾容器集中转移、摆放在主次干道两侧占道收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2.合理规划收运路线和设置收运点位，做到生活垃圾（含餐厨垃圾）产生单位全覆盖。合理规划收运作业时段，与产生单位协商上门收运时段。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3.运输途中严禁遗撒垃圾、污水，严禁在非指定地点随意倾倒垃圾，严禁往垃圾中注水，不得造成占道拥堵。</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36" w:name="_Toc17896_WPSOffice_Level2"/>
      <w:bookmarkStart w:id="37" w:name="_Toc13071"/>
      <w:r>
        <w:rPr>
          <w:rFonts w:hint="eastAsia" w:ascii="宋体" w:hAnsi="宋体" w:eastAsia="宋体" w:cs="宋体"/>
          <w:b/>
          <w:bCs/>
          <w:sz w:val="21"/>
          <w:szCs w:val="21"/>
          <w:highlight w:val="none"/>
        </w:rPr>
        <w:t>（三）生活垃圾收运方式</w:t>
      </w:r>
      <w:bookmarkEnd w:id="36"/>
      <w:bookmarkEnd w:id="37"/>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1.分类收运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生活垃圾分类投放管理责任人（物业企业、单位等）应将垃圾容器按类别分组集中摆放至垃圾集中收运点，便于收运单位分类收运。不得将垃圾容器摆放在盲道、消防通道、车行道等区域。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——其他垃圾以二次转运为主、直运为辅。</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——厨余垃圾以二次转运为主、就近就地处理为辅。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——餐厨垃圾以直运为主，就近就地处理为辅。分为传统定点收运及定制收运。</w:t>
      </w:r>
      <w:r>
        <w:rPr>
          <w:rFonts w:hint="eastAsia" w:ascii="宋体" w:hAnsi="宋体" w:eastAsia="宋体" w:cs="宋体"/>
          <w:b/>
          <w:bCs/>
          <w:sz w:val="21"/>
          <w:szCs w:val="21"/>
          <w:highlight w:val="none"/>
        </w:rPr>
        <w:t>传统定点收运模式：</w:t>
      </w:r>
      <w:r>
        <w:rPr>
          <w:rFonts w:hint="eastAsia" w:ascii="宋体" w:hAnsi="宋体" w:eastAsia="宋体" w:cs="宋体"/>
          <w:sz w:val="21"/>
          <w:szCs w:val="21"/>
          <w:highlight w:val="none"/>
        </w:rPr>
        <w:t>临街门店、单位食堂等地，以直运为主，就近就地处理为辅；</w:t>
      </w:r>
      <w:r>
        <w:rPr>
          <w:rFonts w:hint="eastAsia" w:ascii="宋体" w:hAnsi="宋体" w:eastAsia="宋体" w:cs="宋体"/>
          <w:b/>
          <w:bCs/>
          <w:sz w:val="21"/>
          <w:szCs w:val="21"/>
          <w:highlight w:val="none"/>
        </w:rPr>
        <w:t>定制收运服务模式：</w:t>
      </w:r>
      <w:r>
        <w:rPr>
          <w:rFonts w:hint="eastAsia" w:ascii="宋体" w:hAnsi="宋体" w:eastAsia="宋体" w:cs="宋体"/>
          <w:sz w:val="21"/>
          <w:szCs w:val="21"/>
          <w:highlight w:val="none"/>
        </w:rPr>
        <w:t>餐饮早夜市、繁华商圈等地，采用小型餐饮垃圾接驳车巡回收运。</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2.定制服务（“宣、商、定、收、净”）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——宣：“上门宣传”：各区城管部门指导街道、社区对临街商铺、单位、小区等权属单位逐一上门宣传，明确其责任义务。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——商：“商议需求”：街道、社区对临街商铺、单位、小区等权属单位走访调研，听取收运需求，共同商议定制化服务方案，形成“一路一策”。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定：“定制服务”：建立餐饮早夜市、商业门店集中路段定制收运服务和传统定点收运相结合的作业模式，采用小型垃圾收运车沿主次干道巡回收集清运垃圾。如垃圾增多或错过定点收运，还可通过智慧收运程序预约收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——收：“精准收运”：巡回收运时提醒临街商铺做好收运准备，做到“车到桶到、车走桶回”，严禁摆桶待运；按照桶车一色原则，分类收运，严禁混装混运。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净：“车净桶净路净”：收运完毕后，收运作业人员登录智慧收运程序进行点位打卡，权属单位需配合登录智慧收运程序确认，并及时收桶，保持桶身干净整洁。随车人员清扫作业现场及设备，确保工完场净，车身无外挂垃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3.桶车同步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——收运前，收运作业人员采用收运小程序等方式与权属单位做好衔接，在收运车辆到达的同时将容器集中转移至收运点分类、整齐、密闭摆放，做到“车到桶到”，严禁摆桶待运；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——收运中，在收运过程中轻装轻卸、分类收运，避免噪音扰民、污水垃圾滴漏，使用收运小程序计量并确认。</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——收运后，收运作业人员清扫作业现场及设备，确保“工完场清、车走路净”；权属单位人员在30分钟内归位容器、清理现场，保持桶身干净整洁，严禁垃圾桶无序占道摆放。</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jc w:val="center"/>
        <w:textAlignment w:val="auto"/>
        <w:rPr>
          <w:rFonts w:hint="eastAsia" w:ascii="宋体" w:hAnsi="宋体" w:eastAsia="宋体" w:cs="宋体"/>
          <w:b/>
          <w:bCs/>
          <w:sz w:val="21"/>
          <w:szCs w:val="21"/>
          <w:highlight w:val="none"/>
        </w:rPr>
      </w:pPr>
      <w:bookmarkStart w:id="38" w:name="_Toc20343_WPSOffice_Level2"/>
      <w:bookmarkStart w:id="39" w:name="_Toc24079"/>
      <w:r>
        <w:rPr>
          <w:rFonts w:hint="eastAsia" w:ascii="宋体" w:hAnsi="宋体" w:eastAsia="宋体" w:cs="宋体"/>
          <w:b/>
          <w:bCs/>
          <w:sz w:val="21"/>
          <w:szCs w:val="21"/>
          <w:highlight w:val="none"/>
        </w:rPr>
        <w:t>三、生活垃圾容器</w:t>
      </w:r>
      <w:bookmarkEnd w:id="38"/>
      <w:bookmarkEnd w:id="39"/>
      <w:r>
        <w:rPr>
          <w:rFonts w:hint="eastAsia" w:ascii="宋体" w:hAnsi="宋体" w:eastAsia="宋体" w:cs="宋体"/>
          <w:b/>
          <w:bCs/>
          <w:sz w:val="21"/>
          <w:szCs w:val="21"/>
          <w:highlight w:val="none"/>
        </w:rPr>
        <w:t>设置管理</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1.设置要求：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1.1生活垃圾容器应按照便于分类投放、减少污染源的原则，按道路等级、功能、人流量等因素综合考虑设置，还应体现以人为本、环境协调，适用、经济、方便、安全的原则。</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1.2道路沿线设置废物箱，原则上城市道路按200-500米间隔设置废物箱，商业街区按100-200米间隔设置废物箱。公交站点、过街横道线等人流集中区域应设置废物箱。</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1.3广场、街心花园、开放绿地废物箱按照每500m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设置1处，根据功能、布局以及人群流向等合理布置点位。</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1.4农贸市场、商超等区域主要设置厨余垃圾和其他垃圾桶，厨余垃圾桶数量按实际产生量需求配置，其他垃圾容器一般按厨余垃圾桶1/3配置。建筑面积1000m</w:t>
      </w:r>
      <w:r>
        <w:rPr>
          <w:rFonts w:hint="eastAsia" w:ascii="宋体" w:hAnsi="宋体" w:eastAsia="宋体" w:cs="宋体"/>
          <w:sz w:val="21"/>
          <w:szCs w:val="21"/>
          <w:highlight w:val="none"/>
          <w:vertAlign w:val="superscript"/>
        </w:rPr>
        <w:t>2</w:t>
      </w:r>
      <w:r>
        <w:rPr>
          <w:rFonts w:hint="eastAsia" w:ascii="宋体" w:hAnsi="宋体" w:eastAsia="宋体" w:cs="宋体"/>
          <w:sz w:val="21"/>
          <w:szCs w:val="21"/>
          <w:highlight w:val="none"/>
        </w:rPr>
        <w:t>以上的增设1-2处可回收物（含塑料专项回收）容器。</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退桶还路。主次干道两侧禁设垃圾桶（含带有铁皮装饰罩的垃圾桶），仅设置两分类废物箱供行人投放生活垃圾。小区、单位、门店的垃圾桶不得设置于院外、店外的城市道路。沿街商业门点、老旧小区密集且不具备店内、院内设置容器条件的主次干道，可在两侧相对隐蔽的空地、院落或连通道等位置设置集中投放点，服务半径不超过200m，垃圾桶数量不得超过6个。商业体内部区域应参照本要求设置垃圾容器。</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2.管理要求：</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2.1标识规范。容器外体应严格按照《生活垃圾分类标识》规定，张贴或喷涂与容器颜色对应的分类标识，同时喷涂含有权属单位简称、监督投诉电话的信息标志。</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2.2分时分区。针对繁华商圈、餐饮夜市区域、旅游景点、交通场站、市场、学校等场所周边区域，在人流量集中时段可设置临时垃圾桶以满足投放需求，待关闭歇业后及时退桶还路。</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护要求。垃圾容器权属单位应按照“洁净、完好、密闭”的要求落实垃圾容器日常管护，每次收运后及时清洗、消杀，出现破损、无盖、老化问题及时更换。有条件的区域采取“以桶换桶”、套袋收集、集中清洗等管护模式。</w:t>
      </w:r>
    </w:p>
    <w:p>
      <w:pPr>
        <w:pStyle w:val="2"/>
        <w:numPr>
          <w:ilvl w:val="0"/>
          <w:numId w:val="0"/>
        </w:numPr>
        <w:rPr>
          <w:rFonts w:hint="eastAsia"/>
          <w:highlight w:val="none"/>
        </w:rPr>
      </w:pPr>
      <w:r>
        <w:rPr>
          <w:rFonts w:hint="eastAsia"/>
          <w:highlight w:val="none"/>
        </w:rPr>
        <w:br w:type="page"/>
      </w:r>
    </w:p>
    <w:p>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default" w:eastAsia="宋体" w:cs="宋体"/>
          <w:b/>
          <w:bCs/>
          <w:sz w:val="21"/>
          <w:szCs w:val="21"/>
          <w:highlight w:val="none"/>
          <w:lang w:val="en-US" w:eastAsia="zh-CN"/>
        </w:rPr>
      </w:pPr>
      <w:bookmarkStart w:id="40" w:name="_Toc1311"/>
      <w:r>
        <w:rPr>
          <w:rFonts w:hint="eastAsia" w:eastAsia="宋体" w:cs="宋体"/>
          <w:b/>
          <w:bCs/>
          <w:sz w:val="21"/>
          <w:szCs w:val="21"/>
          <w:highlight w:val="none"/>
        </w:rPr>
        <w:t>附件2</w:t>
      </w:r>
      <w:r>
        <w:rPr>
          <w:rFonts w:hint="eastAsia" w:eastAsia="宋体" w:cs="宋体"/>
          <w:b/>
          <w:bCs/>
          <w:sz w:val="21"/>
          <w:szCs w:val="21"/>
          <w:highlight w:val="none"/>
          <w:lang w:eastAsia="zh-CN"/>
        </w:rPr>
        <w:t>：</w:t>
      </w:r>
      <w:r>
        <w:rPr>
          <w:rFonts w:hint="eastAsia" w:eastAsia="宋体" w:cs="宋体"/>
          <w:b/>
          <w:bCs/>
          <w:sz w:val="21"/>
          <w:szCs w:val="21"/>
          <w:highlight w:val="none"/>
        </w:rPr>
        <w:t>武汉市环境卫生精细化管理工作导则</w:t>
      </w:r>
      <w:r>
        <w:rPr>
          <w:rFonts w:hint="eastAsia" w:eastAsia="宋体" w:cs="宋体"/>
          <w:b/>
          <w:bCs/>
          <w:sz w:val="21"/>
          <w:szCs w:val="21"/>
          <w:highlight w:val="none"/>
          <w:lang w:val="en-US" w:eastAsia="zh-CN"/>
        </w:rPr>
        <w:t>-环卫队伍管理</w:t>
      </w:r>
      <w:bookmarkEnd w:id="40"/>
    </w:p>
    <w:p>
      <w:pPr>
        <w:pStyle w:val="2"/>
        <w:rPr>
          <w:rFonts w:hint="eastAsia"/>
          <w:highlight w:val="none"/>
          <w:lang w:eastAsia="zh-CN"/>
        </w:rPr>
      </w:pPr>
    </w:p>
    <w:p>
      <w:pPr>
        <w:spacing w:line="440" w:lineRule="exact"/>
        <w:jc w:val="center"/>
        <w:rPr>
          <w:rFonts w:hint="eastAsia" w:ascii="黑体" w:hAnsi="黑体" w:eastAsia="黑体" w:cs="黑体"/>
          <w:sz w:val="24"/>
          <w:szCs w:val="24"/>
          <w:highlight w:val="none"/>
        </w:rPr>
      </w:pPr>
      <w:r>
        <w:rPr>
          <w:rFonts w:hint="eastAsia" w:ascii="黑体" w:hAnsi="黑体" w:eastAsia="黑体" w:cs="黑体"/>
          <w:snapToGrid w:val="0"/>
          <w:color w:val="000000"/>
          <w:sz w:val="36"/>
          <w:szCs w:val="36"/>
          <w:highlight w:val="none"/>
        </w:rPr>
        <w:t>武汉市环境卫生精细化管理工作导则</w:t>
      </w:r>
    </w:p>
    <w:p>
      <w:pPr>
        <w:spacing w:line="440" w:lineRule="exact"/>
        <w:jc w:val="center"/>
        <w:rPr>
          <w:rFonts w:hint="eastAsia" w:ascii="黑体" w:hAnsi="黑体" w:eastAsia="黑体" w:cs="黑体"/>
          <w:snapToGrid w:val="0"/>
          <w:color w:val="000000"/>
          <w:sz w:val="36"/>
          <w:szCs w:val="36"/>
          <w:highlight w:val="none"/>
        </w:rPr>
      </w:pPr>
      <w:bookmarkStart w:id="41" w:name="_Toc17380_WPSOffice_Level1"/>
      <w:bookmarkStart w:id="42" w:name="_Toc32410"/>
      <w:r>
        <w:rPr>
          <w:rFonts w:hint="eastAsia" w:ascii="黑体" w:hAnsi="黑体" w:eastAsia="黑体" w:cs="黑体"/>
          <w:snapToGrid w:val="0"/>
          <w:color w:val="000000"/>
          <w:sz w:val="36"/>
          <w:szCs w:val="36"/>
          <w:highlight w:val="none"/>
        </w:rPr>
        <w:t>环卫队伍管理</w:t>
      </w:r>
      <w:bookmarkEnd w:id="41"/>
      <w:bookmarkEnd w:id="42"/>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43" w:name="_Toc28775_WPSOffice_Level2"/>
      <w:bookmarkStart w:id="44" w:name="_Toc7794"/>
      <w:r>
        <w:rPr>
          <w:rFonts w:hint="eastAsia" w:ascii="宋体" w:hAnsi="宋体" w:eastAsia="宋体" w:cs="宋体"/>
          <w:b/>
          <w:bCs/>
          <w:sz w:val="21"/>
          <w:szCs w:val="21"/>
          <w:highlight w:val="none"/>
        </w:rPr>
        <w:t>（一）装备配备</w:t>
      </w:r>
      <w:bookmarkEnd w:id="43"/>
      <w:bookmarkEnd w:id="44"/>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ascii="宋体" w:hAnsi="宋体" w:eastAsia="宋体" w:cs="宋体"/>
          <w:kern w:val="0"/>
          <w:sz w:val="21"/>
          <w:szCs w:val="21"/>
          <w:highlight w:val="none"/>
          <w:shd w:val="clear" w:color="auto" w:fill="FFFFFF"/>
        </w:rPr>
      </w:pPr>
      <w:r>
        <w:rPr>
          <w:rFonts w:hint="eastAsia" w:ascii="宋体" w:hAnsi="宋体" w:eastAsia="宋体" w:cs="宋体"/>
          <w:sz w:val="21"/>
          <w:szCs w:val="21"/>
          <w:highlight w:val="none"/>
        </w:rPr>
        <w:t>1.</w:t>
      </w:r>
      <w:r>
        <w:rPr>
          <w:rFonts w:hint="eastAsia" w:ascii="宋体" w:hAnsi="宋体" w:eastAsia="宋体" w:cs="宋体"/>
          <w:kern w:val="0"/>
          <w:sz w:val="21"/>
          <w:szCs w:val="21"/>
          <w:highlight w:val="none"/>
          <w:shd w:val="clear" w:color="auto" w:fill="FFFFFF"/>
        </w:rPr>
        <w:t>作业单位每年应为环卫工人配发2-3套春夏装和秋冬装。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2.环卫工人必须穿工作服上岗作业，着装规整统一。</w:t>
      </w:r>
      <w:r>
        <w:rPr>
          <w:rFonts w:hint="eastAsia" w:ascii="宋体" w:hAnsi="宋体" w:eastAsia="宋体" w:cs="宋体"/>
          <w:sz w:val="21"/>
          <w:szCs w:val="21"/>
          <w:highlight w:val="none"/>
        </w:rPr>
        <w:t>作业时应统一穿着环卫标志服、工作鞋、工作帽、手套、防尘口罩，夜间和雾天作业穿反光马甲，雨天作业穿连帽雨衣、雨靴，靠近江边湖边作业穿戴救生衣。</w:t>
      </w:r>
      <w:r>
        <w:rPr>
          <w:rFonts w:hint="eastAsia" w:ascii="宋体" w:hAnsi="宋体" w:eastAsia="宋体" w:cs="宋体"/>
          <w:kern w:val="0"/>
          <w:sz w:val="21"/>
          <w:szCs w:val="21"/>
          <w:highlight w:val="none"/>
          <w:shd w:val="clear" w:color="auto" w:fill="FFFFFF"/>
        </w:rPr>
        <w:t>夜间延时保洁人员、收运人员和清洗人员必须佩穿戴反光背心和肩灯。为便于紧急救护，急救包应备有防创伤止血用品和防中暑药物等。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ascii="宋体" w:hAnsi="宋体" w:eastAsia="宋体" w:cs="宋体"/>
          <w:kern w:val="0"/>
          <w:sz w:val="21"/>
          <w:szCs w:val="21"/>
          <w:highlight w:val="none"/>
          <w:shd w:val="clear" w:color="auto" w:fill="FFFFFF"/>
        </w:rPr>
      </w:pPr>
      <w:r>
        <w:rPr>
          <w:rFonts w:hint="eastAsia" w:ascii="宋体" w:hAnsi="宋体" w:eastAsia="宋体" w:cs="宋体"/>
          <w:sz w:val="21"/>
          <w:szCs w:val="21"/>
          <w:highlight w:val="none"/>
        </w:rPr>
        <w:t>3.作业中统一配备精细保洁“小八件”：</w:t>
      </w:r>
      <w:r>
        <w:rPr>
          <w:rFonts w:hint="eastAsia" w:ascii="宋体" w:hAnsi="宋体" w:eastAsia="宋体" w:cs="宋体"/>
          <w:kern w:val="0"/>
          <w:sz w:val="21"/>
          <w:szCs w:val="21"/>
          <w:highlight w:val="none"/>
          <w:shd w:val="clear" w:color="auto" w:fill="FFFFFF"/>
        </w:rPr>
        <w:t>笤帚、簸箕、刷子、钩子、铲子、干湿抹布、百洁布、清洗剂。推广人机协调一体化作业模式，配备小型巡回保洁、小型高压冲洗设备，提高作业效率。</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45" w:name="_Toc22474_WPSOffice_Level2"/>
      <w:bookmarkStart w:id="46" w:name="_Toc8449"/>
      <w:r>
        <w:rPr>
          <w:rFonts w:hint="eastAsia" w:ascii="宋体" w:hAnsi="宋体" w:eastAsia="宋体" w:cs="宋体"/>
          <w:b/>
          <w:bCs/>
          <w:sz w:val="21"/>
          <w:szCs w:val="21"/>
          <w:highlight w:val="none"/>
        </w:rPr>
        <w:t>（二）</w:t>
      </w:r>
      <w:bookmarkEnd w:id="45"/>
      <w:bookmarkEnd w:id="46"/>
      <w:r>
        <w:rPr>
          <w:rFonts w:hint="eastAsia" w:ascii="宋体" w:hAnsi="宋体" w:eastAsia="宋体" w:cs="宋体"/>
          <w:b/>
          <w:bCs/>
          <w:sz w:val="21"/>
          <w:szCs w:val="21"/>
          <w:highlight w:val="none"/>
        </w:rPr>
        <w:t>管理要求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1.</w:t>
      </w:r>
      <w:r>
        <w:rPr>
          <w:rFonts w:hint="eastAsia" w:ascii="宋体" w:hAnsi="宋体" w:eastAsia="宋体" w:cs="宋体"/>
          <w:sz w:val="21"/>
          <w:szCs w:val="21"/>
          <w:highlight w:val="none"/>
        </w:rPr>
        <w:t>错峰普扫。道路机械化作业完成后，环卫工人开展凌晨全面普扫，全面清理路面、人字沟、卫生死角的废弃物及点状垃圾，严禁将垃圾裸露堆放路面，早7:00前结束普扫。</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ascii="宋体" w:hAnsi="宋体" w:eastAsia="宋体" w:cs="宋体"/>
          <w:sz w:val="21"/>
          <w:szCs w:val="21"/>
          <w:highlight w:val="none"/>
        </w:rPr>
      </w:pPr>
      <w:r>
        <w:rPr>
          <w:rFonts w:hint="eastAsia" w:ascii="宋体" w:hAnsi="宋体" w:eastAsia="宋体" w:cs="宋体"/>
          <w:sz w:val="21"/>
          <w:szCs w:val="21"/>
          <w:highlight w:val="none"/>
        </w:rPr>
        <w:t>2.保洁勤务。</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1" w:firstLineChars="200"/>
        <w:textAlignment w:val="auto"/>
        <w:rPr>
          <w:rFonts w:ascii="宋体" w:hAnsi="宋体" w:eastAsia="宋体" w:cs="宋体"/>
          <w:sz w:val="21"/>
          <w:szCs w:val="21"/>
          <w:highlight w:val="none"/>
        </w:rPr>
      </w:pPr>
      <w:r>
        <w:rPr>
          <w:rFonts w:hint="eastAsia" w:ascii="宋体" w:hAnsi="宋体" w:eastAsia="宋体" w:cs="宋体"/>
          <w:b/>
          <w:bCs/>
          <w:sz w:val="21"/>
          <w:szCs w:val="21"/>
          <w:highlight w:val="none"/>
        </w:rPr>
        <w:t>保洁时长：</w:t>
      </w:r>
      <w:r>
        <w:rPr>
          <w:rFonts w:hint="eastAsia" w:ascii="宋体" w:hAnsi="宋体" w:eastAsia="宋体" w:cs="宋体"/>
          <w:sz w:val="21"/>
          <w:szCs w:val="21"/>
          <w:highlight w:val="none"/>
        </w:rPr>
        <w:t>早7:00开始巡回保洁，主次干道、繁华商圈、江滩公园、餐饮夜市区域、交通场站周边、景点周边等窗口区域持续至晚22:00（夏季可延长至23:00-24:00）。背街小巷持续至晚20:00（夏季可延长至21:00-22:00）。</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ascii="宋体" w:hAnsi="宋体" w:eastAsia="宋体" w:cs="宋体"/>
          <w:sz w:val="21"/>
          <w:szCs w:val="21"/>
          <w:highlight w:val="none"/>
        </w:rPr>
      </w:pPr>
      <w:r>
        <w:rPr>
          <w:rFonts w:hint="eastAsia" w:ascii="宋体" w:hAnsi="宋体" w:eastAsia="宋体" w:cs="宋体"/>
          <w:b/>
          <w:bCs/>
          <w:sz w:val="21"/>
          <w:szCs w:val="21"/>
          <w:highlight w:val="none"/>
        </w:rPr>
        <w:t>保洁频次：</w:t>
      </w:r>
      <w:r>
        <w:rPr>
          <w:rFonts w:hint="eastAsia" w:ascii="宋体" w:hAnsi="宋体" w:eastAsia="宋体" w:cs="宋体"/>
          <w:sz w:val="21"/>
          <w:szCs w:val="21"/>
          <w:highlight w:val="none"/>
        </w:rPr>
        <w:t>根据人流量，按照每30到40分钟的频次，对责任区域完成一次全覆盖巡回保洁。行道树因季节原因产生较多落叶时，要增加巡回保洁次数，并及时清运枯枝落叶。</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contextualSpacing/>
        <w:textAlignment w:val="auto"/>
        <w:rPr>
          <w:rFonts w:ascii="宋体" w:hAnsi="宋体" w:eastAsia="宋体" w:cs="宋体"/>
          <w:sz w:val="21"/>
          <w:szCs w:val="21"/>
          <w:highlight w:val="none"/>
        </w:rPr>
      </w:pPr>
      <w:r>
        <w:rPr>
          <w:rFonts w:hint="eastAsia" w:ascii="宋体" w:hAnsi="宋体" w:eastAsia="宋体" w:cs="宋体"/>
          <w:b/>
          <w:bCs/>
          <w:sz w:val="21"/>
          <w:szCs w:val="21"/>
          <w:highlight w:val="none"/>
        </w:rPr>
        <w:t>人员调配：</w:t>
      </w:r>
      <w:r>
        <w:rPr>
          <w:rFonts w:hint="eastAsia" w:ascii="宋体" w:hAnsi="宋体" w:eastAsia="宋体" w:cs="宋体"/>
          <w:sz w:val="21"/>
          <w:szCs w:val="21"/>
          <w:highlight w:val="none"/>
        </w:rPr>
        <w:t>窗口区域人流高峰时段，应将保洁力量投入增加至1.5-2倍。</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3.精细保洁。实施“十字作业法”：扫、捡、冲、刷、洗、拔、捞、擦、吸、巡，</w:t>
      </w:r>
      <w:r>
        <w:rPr>
          <w:rFonts w:hint="eastAsia" w:ascii="宋体" w:hAnsi="宋体" w:eastAsia="宋体" w:cs="宋体"/>
          <w:sz w:val="21"/>
          <w:szCs w:val="21"/>
          <w:highlight w:val="none"/>
        </w:rPr>
        <w:t>确保道路路面、人字沟、排水口、花坛绿化带、高架桥桥面及匝道、城市家具等部位保洁全覆盖。</w:t>
      </w:r>
    </w:p>
    <w:p>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4.时间统一。调整优化公共区域清扫保洁勤务模式，社会单位、物业企业管辖的公共区域，清扫保洁作业时间应与其接壤的城市道路保洁作业时间同步，早7:00前完成凌晨普扫及垃圾清运。</w:t>
      </w:r>
    </w:p>
    <w:p>
      <w:pPr>
        <w:pStyle w:val="19"/>
        <w:keepNext w:val="0"/>
        <w:keepLines w:val="0"/>
        <w:pageBreakBefore w:val="0"/>
        <w:widowControl w:val="0"/>
        <w:tabs>
          <w:tab w:val="left" w:pos="999"/>
        </w:tabs>
        <w:kinsoku/>
        <w:wordWrap/>
        <w:overflowPunct/>
        <w:topLinePunct w:val="0"/>
        <w:autoSpaceDE/>
        <w:autoSpaceDN/>
        <w:bidi w:val="0"/>
        <w:adjustRightInd/>
        <w:snapToGrid/>
        <w:spacing w:line="440" w:lineRule="exact"/>
        <w:ind w:firstLine="420" w:firstLineChars="200"/>
        <w:jc w:val="left"/>
        <w:textAlignment w:val="auto"/>
        <w:rPr>
          <w:rFonts w:ascii="宋体" w:hAnsi="宋体" w:cs="宋体"/>
          <w:spacing w:val="1"/>
          <w:sz w:val="24"/>
          <w:highlight w:val="none"/>
        </w:rPr>
      </w:pPr>
      <w:r>
        <w:rPr>
          <w:rFonts w:hint="eastAsia" w:ascii="宋体" w:hAnsi="宋体" w:cs="宋体"/>
          <w:sz w:val="21"/>
          <w:szCs w:val="21"/>
          <w:highlight w:val="none"/>
        </w:rPr>
        <w:t xml:space="preserve">    5.安全文明。清扫车行道应乘车前往作业地点，清扫时注意避让来往车辆。上班时间不得与他人聊天，不得在岗上聚堆抽烟、吃零食；工作场合与他人同行时，不允许勾肩搭背，嬉戏打闹、大声吵闹。需要路人配合时，应使用文明用语，尽量避免发生矛盾。</w:t>
      </w:r>
    </w:p>
    <w:p>
      <w:pPr>
        <w:spacing w:line="440" w:lineRule="exact"/>
        <w:rPr>
          <w:rFonts w:hint="eastAsia" w:ascii="黑体" w:hAnsi="黑体" w:eastAsia="黑体" w:cs="黑体"/>
          <w:snapToGrid w:val="0"/>
          <w:spacing w:val="1"/>
          <w:sz w:val="24"/>
          <w:szCs w:val="24"/>
          <w:highlight w:val="none"/>
        </w:rPr>
      </w:pPr>
      <w:r>
        <w:rPr>
          <w:rFonts w:hint="eastAsia" w:ascii="黑体" w:hAnsi="黑体" w:eastAsia="黑体" w:cs="黑体"/>
          <w:snapToGrid w:val="0"/>
          <w:spacing w:val="1"/>
          <w:sz w:val="24"/>
          <w:szCs w:val="24"/>
          <w:highlight w:val="none"/>
        </w:rPr>
        <w:br w:type="page"/>
      </w:r>
    </w:p>
    <w:p>
      <w:pPr>
        <w:pStyle w:val="4"/>
        <w:keepNext/>
        <w:keepLines/>
        <w:pageBreakBefore w:val="0"/>
        <w:widowControl w:val="0"/>
        <w:kinsoku/>
        <w:wordWrap/>
        <w:overflowPunct/>
        <w:topLinePunct w:val="0"/>
        <w:autoSpaceDE/>
        <w:autoSpaceDN/>
        <w:bidi w:val="0"/>
        <w:adjustRightInd/>
        <w:snapToGrid/>
        <w:spacing w:line="440" w:lineRule="exact"/>
        <w:jc w:val="both"/>
        <w:textAlignment w:val="auto"/>
        <w:rPr>
          <w:rFonts w:hint="eastAsia" w:eastAsia="宋体" w:cs="宋体"/>
          <w:b/>
          <w:bCs/>
          <w:sz w:val="21"/>
          <w:szCs w:val="21"/>
          <w:highlight w:val="none"/>
        </w:rPr>
      </w:pPr>
      <w:bookmarkStart w:id="47" w:name="_Toc23714"/>
      <w:r>
        <w:rPr>
          <w:rFonts w:hint="eastAsia" w:eastAsia="宋体" w:cs="宋体"/>
          <w:b/>
          <w:bCs/>
          <w:sz w:val="21"/>
          <w:szCs w:val="21"/>
          <w:highlight w:val="none"/>
        </w:rPr>
        <w:t>附件3</w:t>
      </w:r>
      <w:r>
        <w:rPr>
          <w:rFonts w:hint="eastAsia" w:eastAsia="宋体" w:cs="宋体"/>
          <w:b/>
          <w:bCs/>
          <w:sz w:val="21"/>
          <w:szCs w:val="21"/>
          <w:highlight w:val="none"/>
          <w:lang w:eastAsia="zh-CN"/>
        </w:rPr>
        <w:t>：</w:t>
      </w:r>
      <w:r>
        <w:rPr>
          <w:rFonts w:hint="eastAsia" w:eastAsia="宋体" w:cs="宋体"/>
          <w:b/>
          <w:bCs/>
          <w:sz w:val="21"/>
          <w:szCs w:val="21"/>
          <w:highlight w:val="none"/>
        </w:rPr>
        <w:t>武汉市环境卫生精细化管理工作导则</w:t>
      </w:r>
      <w:bookmarkEnd w:id="47"/>
    </w:p>
    <w:p>
      <w:pPr>
        <w:pStyle w:val="2"/>
        <w:rPr>
          <w:rFonts w:hint="eastAsia"/>
          <w:highlight w:val="none"/>
          <w:lang w:eastAsia="zh-CN"/>
        </w:rPr>
      </w:pPr>
    </w:p>
    <w:p>
      <w:pPr>
        <w:spacing w:line="440" w:lineRule="exact"/>
        <w:jc w:val="center"/>
        <w:rPr>
          <w:rFonts w:hint="eastAsia" w:ascii="黑体" w:hAnsi="黑体" w:eastAsia="黑体" w:cs="黑体"/>
          <w:snapToGrid w:val="0"/>
          <w:color w:val="000000"/>
          <w:sz w:val="36"/>
          <w:szCs w:val="36"/>
          <w:highlight w:val="none"/>
        </w:rPr>
      </w:pPr>
      <w:r>
        <w:rPr>
          <w:rFonts w:hint="eastAsia" w:ascii="黑体" w:hAnsi="黑体" w:eastAsia="黑体" w:cs="黑体"/>
          <w:snapToGrid w:val="0"/>
          <w:color w:val="000000"/>
          <w:sz w:val="36"/>
          <w:szCs w:val="36"/>
          <w:highlight w:val="none"/>
        </w:rPr>
        <w:t>武汉市环境卫生精细化管理工作导则</w:t>
      </w:r>
    </w:p>
    <w:p>
      <w:pPr>
        <w:spacing w:line="440" w:lineRule="exact"/>
        <w:jc w:val="center"/>
        <w:rPr>
          <w:rFonts w:hint="eastAsia" w:ascii="黑体" w:hAnsi="黑体" w:eastAsia="黑体" w:cs="黑体"/>
          <w:snapToGrid w:val="0"/>
          <w:color w:val="000000"/>
          <w:sz w:val="36"/>
          <w:szCs w:val="36"/>
          <w:highlight w:val="none"/>
        </w:rPr>
      </w:pPr>
      <w:r>
        <w:rPr>
          <w:rFonts w:hint="eastAsia" w:ascii="黑体" w:hAnsi="黑体" w:eastAsia="黑体" w:cs="黑体"/>
          <w:snapToGrid w:val="0"/>
          <w:color w:val="000000"/>
          <w:sz w:val="36"/>
          <w:szCs w:val="36"/>
          <w:highlight w:val="none"/>
          <w:lang w:val="en-US" w:eastAsia="zh-CN"/>
        </w:rPr>
        <w:t>环卫</w:t>
      </w:r>
      <w:r>
        <w:rPr>
          <w:rFonts w:hint="eastAsia" w:ascii="黑体" w:hAnsi="黑体" w:eastAsia="黑体" w:cs="黑体"/>
          <w:snapToGrid w:val="0"/>
          <w:color w:val="000000"/>
          <w:sz w:val="36"/>
          <w:szCs w:val="36"/>
          <w:highlight w:val="none"/>
        </w:rPr>
        <w:t>设施设备管理</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（一）环卫车辆</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1.指导配置标准</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——清扫保洁作业车辆</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1.1吸扫车：</w:t>
      </w:r>
      <w:r>
        <w:rPr>
          <w:rFonts w:hint="eastAsia" w:ascii="宋体" w:hAnsi="宋体" w:eastAsia="宋体" w:cs="宋体"/>
          <w:sz w:val="21"/>
          <w:szCs w:val="21"/>
          <w:highlight w:val="none"/>
        </w:rPr>
        <w:t>按照车行道作业面积每10-15万㎡配置不少于1台。</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1.2高压清洗车：</w:t>
      </w:r>
      <w:r>
        <w:rPr>
          <w:rFonts w:hint="eastAsia" w:ascii="宋体" w:hAnsi="宋体" w:eastAsia="宋体" w:cs="宋体"/>
          <w:sz w:val="21"/>
          <w:szCs w:val="21"/>
          <w:highlight w:val="none"/>
        </w:rPr>
        <w:t>道路宽度小于14米时，应按每50公里道路长度配置不少于1台；14-28米宽的道路按上述标准的2倍配置。</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1.3小型高压冲洗（去污）车：</w:t>
      </w:r>
      <w:r>
        <w:rPr>
          <w:rFonts w:hint="eastAsia" w:ascii="宋体" w:hAnsi="宋体" w:eastAsia="宋体" w:cs="宋体"/>
          <w:sz w:val="21"/>
          <w:szCs w:val="21"/>
          <w:highlight w:val="none"/>
        </w:rPr>
        <w:t>按照人行道作业面积，每1万㎡范围配置不少于1台来测算。</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1.4小型巡回保洁车：</w:t>
      </w:r>
      <w:r>
        <w:rPr>
          <w:rFonts w:hint="eastAsia" w:ascii="宋体" w:hAnsi="宋体" w:eastAsia="宋体" w:cs="宋体"/>
          <w:sz w:val="21"/>
          <w:szCs w:val="21"/>
          <w:highlight w:val="none"/>
        </w:rPr>
        <w:t>按照道路长度，主次干道每2500米配置不少于1台，背街小巷每2000米配置不少于1台。或者按照人行道面积每6000㎡配1台来测算。</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1.5洒水车：</w:t>
      </w:r>
      <w:r>
        <w:rPr>
          <w:rFonts w:hint="eastAsia" w:ascii="宋体" w:hAnsi="宋体" w:eastAsia="宋体" w:cs="宋体"/>
          <w:sz w:val="21"/>
          <w:szCs w:val="21"/>
          <w:highlight w:val="none"/>
        </w:rPr>
        <w:t>按照道路宽度小于14米时，按每40公里道路长度配置不少于1台；14~28米宽的道路时，按上述标准的2倍配置。</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1.6护栏、隔音屏清洗车：</w:t>
      </w:r>
      <w:r>
        <w:rPr>
          <w:rFonts w:hint="eastAsia" w:ascii="宋体" w:hAnsi="宋体" w:eastAsia="宋体" w:cs="宋体"/>
          <w:sz w:val="21"/>
          <w:szCs w:val="21"/>
          <w:highlight w:val="none"/>
        </w:rPr>
        <w:t>按照护栏、隔音屏长度每10公里配置不少于1台。</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——垃圾收运作业车辆</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1.7其他垃圾、厨余垃圾收运车：</w:t>
      </w:r>
      <w:r>
        <w:rPr>
          <w:rFonts w:hint="eastAsia" w:ascii="宋体" w:hAnsi="宋体" w:eastAsia="宋体" w:cs="宋体"/>
          <w:sz w:val="21"/>
          <w:szCs w:val="21"/>
          <w:highlight w:val="none"/>
        </w:rPr>
        <w:t>按照日产日清要求，每100吨生活垃圾原则上配置不少于18辆其他垃圾收运车、8辆厨余垃圾收运车。根据运距、收运点数量等实际因素灵活调整。</w:t>
      </w:r>
    </w:p>
    <w:p>
      <w:pPr>
        <w:pStyle w:val="2"/>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1.8小型巡回收运车：</w:t>
      </w:r>
      <w:r>
        <w:rPr>
          <w:rFonts w:hint="eastAsia" w:ascii="宋体" w:hAnsi="宋体" w:eastAsia="宋体" w:cs="宋体"/>
          <w:sz w:val="21"/>
          <w:szCs w:val="21"/>
          <w:highlight w:val="none"/>
        </w:rPr>
        <w:t>商业门店集中路段每1000米配置不少于1台。</w:t>
      </w:r>
    </w:p>
    <w:p>
      <w:pPr>
        <w:keepNext w:val="0"/>
        <w:keepLines w:val="0"/>
        <w:pageBreakBefore w:val="0"/>
        <w:widowControl w:val="0"/>
        <w:kinsoku/>
        <w:wordWrap/>
        <w:overflowPunct/>
        <w:topLinePunct w:val="0"/>
        <w:autoSpaceDE/>
        <w:autoSpaceDN/>
        <w:bidi w:val="0"/>
        <w:adjustRightInd/>
        <w:spacing w:line="440" w:lineRule="exact"/>
        <w:ind w:firstLine="421" w:firstLineChars="200"/>
        <w:contextualSpacing/>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2.管理要求：</w:t>
      </w:r>
    </w:p>
    <w:p>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环卫车辆两侧车门应喷涂作业单位名称（或简称）和监督电话；垃圾收运车辆车身两侧醒目位置应按垃圾分类要求喷涂分类标识和颜色，区分“餐厨垃圾、厨余垃圾、其他垃圾”等收运类型；清扫作业车辆车身两侧醒目位置应喷涂“洒水车、吸扫车、高压清洗车、护栏清洗车、隔音屏清洗车”等作业类型。禁止环卫车辆出现“城管”、“环卫”等字样。</w:t>
      </w:r>
    </w:p>
    <w:p>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2.2优先使用新能源或国VI排放标准环卫车辆。所有环卫车辆安装车载前端物联设备，数据接入市级信息化平台。</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2.3环卫车辆遵守“三应三禁”标准，即车容应整洁，严禁车厢、车轮、前后车牌未见本色上路；车况应良好，严禁密封部件、作业机具“带病作业”；运输应密闭，严禁垃圾外露、跑冒滴漏、当街转运。</w:t>
      </w:r>
    </w:p>
    <w:p>
      <w:pPr>
        <w:pStyle w:val="19"/>
        <w:keepNext w:val="0"/>
        <w:keepLines w:val="0"/>
        <w:pageBreakBefore w:val="0"/>
        <w:widowControl w:val="0"/>
        <w:tabs>
          <w:tab w:val="left" w:pos="999"/>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加强环卫车辆安全管理。行驶时应遵守交规，不得逆向或超速行驶，不得妨碍行人和车辆通行。作业人员下车前应注意周边行人、车辆，避免发生事故。在车行道长时间驻车作业时，应开启示宽灯，在车后50-100米处放置提示牌，并安排人员疏导交通。完成作业后，车辆必须停放至指定的场所，非工作需要无特殊事由不得动用。每天早晚高峰时段不得开展道路机械清扫、冲洗、雾洒作业。</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48" w:name="_Toc16340"/>
      <w:bookmarkStart w:id="49" w:name="_Toc22779_WPSOffice_Level2"/>
      <w:r>
        <w:rPr>
          <w:rFonts w:hint="eastAsia" w:ascii="宋体" w:hAnsi="宋体" w:eastAsia="宋体" w:cs="宋体"/>
          <w:b/>
          <w:bCs/>
          <w:sz w:val="21"/>
          <w:szCs w:val="21"/>
          <w:highlight w:val="none"/>
        </w:rPr>
        <w:t>（二）环卫工作间</w:t>
      </w:r>
      <w:bookmarkEnd w:id="48"/>
      <w:bookmarkEnd w:id="49"/>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1、主次干道原则上采用入店入室方式设置环卫工作间。设置在室外的，应与周边环境相协调，且不影响通行。</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2、环卫工作间应具备休息、进餐、更衣、存放工具等基本功能，有条件的应提供纳凉、食品加热、沐浴等个性化功能。</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3.环卫工作间内部及周边环境洁净、设施完好。保洁工具和各类杂物不得放置于工作间周边区域。环卫工人使用作息间时，巡回保洁车应在工作间外有序停放。</w:t>
      </w:r>
    </w:p>
    <w:p>
      <w:pPr>
        <w:pStyle w:val="12"/>
        <w:keepNext w:val="0"/>
        <w:keepLines w:val="0"/>
        <w:pageBreakBefore w:val="0"/>
        <w:widowControl w:val="0"/>
        <w:kinsoku/>
        <w:wordWrap/>
        <w:overflowPunct/>
        <w:topLinePunct w:val="0"/>
        <w:autoSpaceDE/>
        <w:autoSpaceDN/>
        <w:bidi w:val="0"/>
        <w:adjustRightInd/>
        <w:spacing w:after="0" w:line="440" w:lineRule="exact"/>
        <w:ind w:left="0" w:leftChars="0" w:firstLine="421" w:firstLineChars="200"/>
        <w:textAlignment w:val="auto"/>
        <w:rPr>
          <w:rFonts w:hint="eastAsia" w:ascii="宋体" w:hAnsi="宋体" w:eastAsia="宋体" w:cs="宋体"/>
          <w:b/>
          <w:bCs/>
          <w:sz w:val="21"/>
          <w:szCs w:val="21"/>
          <w:highlight w:val="none"/>
        </w:rPr>
      </w:pPr>
      <w:bookmarkStart w:id="50" w:name="_Toc2968368"/>
      <w:bookmarkStart w:id="51" w:name="_Toc13885_WPSOffice_Level2"/>
      <w:bookmarkStart w:id="52" w:name="_Toc31185"/>
      <w:r>
        <w:rPr>
          <w:rFonts w:hint="eastAsia" w:ascii="宋体" w:hAnsi="宋体" w:eastAsia="宋体" w:cs="宋体"/>
          <w:b/>
          <w:bCs/>
          <w:sz w:val="21"/>
          <w:szCs w:val="21"/>
          <w:highlight w:val="none"/>
        </w:rPr>
        <w:t>（三）环卫车辆停保场</w:t>
      </w:r>
      <w:bookmarkEnd w:id="50"/>
      <w:bookmarkEnd w:id="51"/>
      <w:bookmarkEnd w:id="52"/>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1.环卫停保场应满足环卫车辆停放、清洗、维护保养等基本需求。</w:t>
      </w:r>
    </w:p>
    <w:p>
      <w:pPr>
        <w:keepNext w:val="0"/>
        <w:keepLines w:val="0"/>
        <w:pageBreakBefore w:val="0"/>
        <w:widowControl w:val="0"/>
        <w:kinsoku/>
        <w:wordWrap/>
        <w:overflowPunct/>
        <w:topLinePunct w:val="0"/>
        <w:autoSpaceDE/>
        <w:autoSpaceDN/>
        <w:bidi w:val="0"/>
        <w:adjustRightInd/>
        <w:spacing w:line="440" w:lineRule="exact"/>
        <w:ind w:firstLine="420" w:firstLineChars="200"/>
        <w:contextualSpacing/>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2.环卫停保场内各类物品有序堆放，易燃易爆物品单独存放，严禁无序堆放杂物或露天存放垃圾。</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sectPr>
          <w:headerReference r:id="rId3" w:type="default"/>
          <w:footerReference r:id="rId4" w:type="default"/>
          <w:pgSz w:w="11906" w:h="16838"/>
          <w:pgMar w:top="1928" w:right="1418" w:bottom="1871" w:left="1418" w:header="851" w:footer="992" w:gutter="0"/>
          <w:cols w:space="425" w:num="1"/>
          <w:docGrid w:type="lines" w:linePitch="312" w:charSpace="0"/>
        </w:sectPr>
      </w:pPr>
      <w:r>
        <w:rPr>
          <w:rFonts w:hint="eastAsia" w:ascii="宋体" w:hAnsi="宋体" w:eastAsia="宋体" w:cs="宋体"/>
          <w:sz w:val="21"/>
          <w:szCs w:val="21"/>
          <w:highlight w:val="none"/>
        </w:rPr>
        <w:t>3.环卫停保场内部及周边环境保持干净整洁，车辆停放、维修、清洗等各类场所应彼此隔开，有防火防盗措施，管理制度上墙公示。</w:t>
      </w:r>
      <w:bookmarkStart w:id="53" w:name="_GoBack"/>
      <w:bookmarkEnd w:id="53"/>
    </w:p>
    <w:p>
      <w:pPr>
        <w:rPr>
          <w:rFonts w:hint="default"/>
          <w:highlight w:val="none"/>
          <w:lang w:val="en-US" w:eastAsia="zh-CN"/>
        </w:rPr>
      </w:pPr>
    </w:p>
    <w:sectPr>
      <w:pgSz w:w="16838" w:h="11906" w:orient="landscape"/>
      <w:pgMar w:top="1418" w:right="1928" w:bottom="1418"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99374"/>
    <w:multiLevelType w:val="singleLevel"/>
    <w:tmpl w:val="5669937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A0"/>
    <w:rsid w:val="001D7D09"/>
    <w:rsid w:val="006A7AEA"/>
    <w:rsid w:val="006C3B68"/>
    <w:rsid w:val="008D10CD"/>
    <w:rsid w:val="00B653A9"/>
    <w:rsid w:val="00C12B0C"/>
    <w:rsid w:val="00D86BA0"/>
    <w:rsid w:val="00FF1340"/>
    <w:rsid w:val="0954308C"/>
    <w:rsid w:val="0A9F3C05"/>
    <w:rsid w:val="2E85344A"/>
    <w:rsid w:val="407C6B7C"/>
    <w:rsid w:val="442453B6"/>
    <w:rsid w:val="445A2A95"/>
    <w:rsid w:val="67CE1AA9"/>
    <w:rsid w:val="69981B13"/>
    <w:rsid w:val="74C43B5D"/>
    <w:rsid w:val="75BF753D"/>
    <w:rsid w:val="7AC2341E"/>
    <w:rsid w:val="7D1D0A81"/>
    <w:rsid w:val="7F7FEEEB"/>
    <w:rsid w:val="DEF7F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kern w:val="0"/>
      <w:sz w:val="30"/>
      <w:szCs w:val="32"/>
      <w:lang w:val="en-US" w:eastAsia="zh-CN" w:bidi="ar-SA"/>
    </w:rPr>
  </w:style>
  <w:style w:type="paragraph" w:styleId="3">
    <w:name w:val="heading 1"/>
    <w:basedOn w:val="1"/>
    <w:next w:val="1"/>
    <w:qFormat/>
    <w:uiPriority w:val="1"/>
    <w:pPr>
      <w:spacing w:before="110"/>
      <w:ind w:left="1118" w:hanging="424"/>
      <w:outlineLvl w:val="1"/>
    </w:pPr>
    <w:rPr>
      <w:rFonts w:ascii="宋体" w:hAnsi="宋体" w:eastAsia="宋体" w:cs="宋体"/>
      <w:b/>
      <w:bCs/>
      <w:sz w:val="24"/>
      <w:szCs w:val="24"/>
      <w:lang w:val="en-US" w:eastAsia="zh-CN" w:bidi="ar-SA"/>
    </w:rPr>
  </w:style>
  <w:style w:type="paragraph" w:styleId="4">
    <w:name w:val="heading 2"/>
    <w:basedOn w:val="1"/>
    <w:next w:val="1"/>
    <w:qFormat/>
    <w:uiPriority w:val="0"/>
    <w:pPr>
      <w:keepNext/>
      <w:keepLines/>
      <w:spacing w:line="520" w:lineRule="exact"/>
      <w:jc w:val="center"/>
      <w:outlineLvl w:val="1"/>
    </w:pPr>
    <w:rPr>
      <w:rFonts w:ascii="宋体" w:hAnsi="宋体"/>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215" w:firstLine="480"/>
    </w:pPr>
    <w:rPr>
      <w:rFonts w:ascii="宋体" w:hAnsi="宋体" w:eastAsia="宋体" w:cs="宋体"/>
      <w:sz w:val="24"/>
      <w:szCs w:val="24"/>
      <w:lang w:val="en-US" w:eastAsia="zh-CN" w:bidi="ar-SA"/>
    </w:rPr>
  </w:style>
  <w:style w:type="paragraph" w:styleId="5">
    <w:name w:val="Normal Indent"/>
    <w:basedOn w:val="1"/>
    <w:qFormat/>
    <w:uiPriority w:val="0"/>
    <w:pPr>
      <w:spacing w:line="360" w:lineRule="auto"/>
      <w:ind w:left="420" w:firstLine="420"/>
    </w:pPr>
    <w:rPr>
      <w:szCs w:val="20"/>
    </w:rPr>
  </w:style>
  <w:style w:type="paragraph" w:styleId="6">
    <w:name w:val="annotation text"/>
    <w:basedOn w:val="1"/>
    <w:qFormat/>
    <w:uiPriority w:val="99"/>
    <w:pPr>
      <w:jc w:val="left"/>
    </w:pPr>
  </w:style>
  <w:style w:type="paragraph" w:styleId="7">
    <w:name w:val="Body Text Indent"/>
    <w:basedOn w:val="1"/>
    <w:next w:val="5"/>
    <w:semiHidden/>
    <w:unhideWhenUsed/>
    <w:qFormat/>
    <w:uiPriority w:val="99"/>
    <w:pPr>
      <w:spacing w:after="120" w:afterLines="0" w:afterAutospacing="0"/>
      <w:ind w:left="420" w:leftChars="200"/>
    </w:p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semiHidden/>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脚 Char"/>
    <w:basedOn w:val="15"/>
    <w:link w:val="8"/>
    <w:qFormat/>
    <w:uiPriority w:val="0"/>
    <w:rPr>
      <w:rFonts w:ascii="仿宋_GB2312" w:hAnsi="宋体" w:eastAsia="仿宋_GB2312" w:cs="宋体"/>
      <w:kern w:val="0"/>
      <w:sz w:val="18"/>
      <w:szCs w:val="18"/>
    </w:rPr>
  </w:style>
  <w:style w:type="character" w:customStyle="1" w:styleId="18">
    <w:name w:val="页眉 Char"/>
    <w:basedOn w:val="15"/>
    <w:link w:val="10"/>
    <w:semiHidden/>
    <w:qFormat/>
    <w:uiPriority w:val="99"/>
    <w:rPr>
      <w:rFonts w:ascii="仿宋_GB2312" w:hAnsi="宋体" w:eastAsia="仿宋_GB2312" w:cs="宋体"/>
      <w:kern w:val="0"/>
      <w:sz w:val="18"/>
      <w:szCs w:val="18"/>
    </w:rPr>
  </w:style>
  <w:style w:type="paragraph" w:styleId="19">
    <w:name w:val="List Paragraph"/>
    <w:basedOn w:val="1"/>
    <w:qFormat/>
    <w:uiPriority w:val="1"/>
    <w:pPr>
      <w:ind w:left="215" w:firstLine="480"/>
    </w:pPr>
    <w:rPr>
      <w:rFonts w:ascii="宋体" w:hAnsi="宋体" w:eastAsia="宋体" w:cs="宋体"/>
      <w:lang w:val="en-US" w:eastAsia="zh-CN" w:bidi="ar-SA"/>
    </w:rPr>
  </w:style>
  <w:style w:type="paragraph" w:customStyle="1" w:styleId="20">
    <w:name w:val="Table Paragraph"/>
    <w:basedOn w:val="1"/>
    <w:qFormat/>
    <w:uiPriority w:val="1"/>
    <w:rPr>
      <w:rFonts w:ascii="宋体" w:hAnsi="宋体" w:eastAsia="宋体" w:cs="宋体"/>
      <w:lang w:val="en-US" w:eastAsia="zh-CN" w:bidi="ar-SA"/>
    </w:rPr>
  </w:style>
  <w:style w:type="paragraph" w:customStyle="1" w:styleId="21">
    <w:name w:val="无间隔1"/>
    <w:basedOn w:val="1"/>
    <w:qFormat/>
    <w:uiPriority w:val="1"/>
    <w:pPr>
      <w:spacing w:line="400" w:lineRule="exact"/>
    </w:pPr>
    <w:rPr>
      <w:rFonts w:eastAsia="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72</Words>
  <Characters>411</Characters>
  <Lines>3</Lines>
  <Paragraphs>1</Paragraphs>
  <TotalTime>3</TotalTime>
  <ScaleCrop>false</ScaleCrop>
  <LinksUpToDate>false</LinksUpToDate>
  <CharactersWithSpaces>482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2019-10-24T23:46:00Z</dcterms:created>
  <dc:creator>USER-</dc:creator>
  <cp:lastModifiedBy>uder</cp:lastModifiedBy>
  <dcterms:modified xsi:type="dcterms:W3CDTF">2023-10-08T10:56:58Z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