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textAlignment w:val="center"/>
        <w:rPr>
          <w:rFonts w:ascii="黑体" w:hAnsi="黑体" w:eastAsia="黑体" w:cs="黑体"/>
          <w:szCs w:val="32"/>
        </w:rPr>
      </w:pPr>
      <w:bookmarkStart w:id="0" w:name="_GoBack"/>
      <w:bookmarkEnd w:id="0"/>
      <w:r>
        <w:rPr>
          <w:rFonts w:hint="eastAsia" w:ascii="黑体" w:hAnsi="黑体" w:eastAsia="黑体" w:cs="黑体"/>
          <w:szCs w:val="32"/>
        </w:rPr>
        <w:t>附件</w:t>
      </w:r>
    </w:p>
    <w:p>
      <w:pPr>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《武汉市关于推进新时代质量强市建设的实施意见》</w:t>
      </w:r>
    </w:p>
    <w:p>
      <w:pPr>
        <w:adjustRightInd w:val="0"/>
        <w:snapToGrid w:val="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重点任务责任清单</w:t>
      </w:r>
    </w:p>
    <w:tbl>
      <w:tblPr>
        <w:tblStyle w:val="16"/>
        <w:tblW w:w="14489" w:type="dxa"/>
        <w:jc w:val="center"/>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629"/>
        <w:gridCol w:w="1230"/>
        <w:gridCol w:w="8185"/>
        <w:gridCol w:w="1991"/>
        <w:gridCol w:w="1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2" w:hRule="atLeast"/>
          <w:tblHeader/>
          <w:jc w:val="center"/>
        </w:trPr>
        <w:tc>
          <w:tcPr>
            <w:tcW w:w="733" w:type="dxa"/>
            <w:vAlign w:val="center"/>
          </w:tcPr>
          <w:p>
            <w:pPr>
              <w:widowControl/>
              <w:adjustRightInd w:val="0"/>
              <w:snapToGrid w:val="0"/>
              <w:ind w:firstLine="0" w:firstLineChars="0"/>
              <w:jc w:val="center"/>
              <w:textAlignment w:val="center"/>
              <w:rPr>
                <w:rFonts w:ascii="仿宋_GB2312" w:cs="仿宋_GB2312"/>
                <w:b/>
                <w:sz w:val="21"/>
                <w:szCs w:val="21"/>
              </w:rPr>
            </w:pPr>
            <w:r>
              <w:rPr>
                <w:rFonts w:hint="eastAsia" w:ascii="仿宋_GB2312" w:hAnsi="仿宋_GB2312" w:cs="仿宋_GB2312"/>
                <w:b/>
                <w:sz w:val="21"/>
                <w:szCs w:val="21"/>
              </w:rPr>
              <w:t>序号</w:t>
            </w:r>
          </w:p>
        </w:tc>
        <w:tc>
          <w:tcPr>
            <w:tcW w:w="1859" w:type="dxa"/>
            <w:gridSpan w:val="2"/>
            <w:vAlign w:val="center"/>
          </w:tcPr>
          <w:p>
            <w:pPr>
              <w:widowControl/>
              <w:adjustRightInd w:val="0"/>
              <w:snapToGrid w:val="0"/>
              <w:ind w:firstLine="0" w:firstLineChars="0"/>
              <w:jc w:val="center"/>
              <w:textAlignment w:val="center"/>
              <w:rPr>
                <w:rFonts w:ascii="仿宋_GB2312" w:cs="仿宋_GB2312"/>
                <w:b/>
                <w:sz w:val="21"/>
                <w:szCs w:val="21"/>
              </w:rPr>
            </w:pPr>
            <w:r>
              <w:rPr>
                <w:rFonts w:hint="eastAsia" w:ascii="仿宋_GB2312" w:hAnsi="仿宋_GB2312" w:cs="仿宋_GB2312"/>
                <w:b/>
                <w:sz w:val="21"/>
                <w:szCs w:val="21"/>
              </w:rPr>
              <w:t>重点任务</w:t>
            </w:r>
          </w:p>
        </w:tc>
        <w:tc>
          <w:tcPr>
            <w:tcW w:w="8185" w:type="dxa"/>
            <w:vAlign w:val="center"/>
          </w:tcPr>
          <w:p>
            <w:pPr>
              <w:widowControl/>
              <w:adjustRightInd w:val="0"/>
              <w:snapToGrid w:val="0"/>
              <w:ind w:firstLine="0" w:firstLineChars="0"/>
              <w:jc w:val="center"/>
              <w:textAlignment w:val="center"/>
              <w:rPr>
                <w:rFonts w:ascii="仿宋_GB2312" w:cs="仿宋_GB2312"/>
                <w:b/>
                <w:kern w:val="0"/>
                <w:sz w:val="21"/>
                <w:szCs w:val="21"/>
              </w:rPr>
            </w:pPr>
            <w:r>
              <w:rPr>
                <w:rFonts w:hint="eastAsia" w:ascii="仿宋_GB2312" w:hAnsi="仿宋_GB2312" w:cs="仿宋_GB2312"/>
                <w:b/>
                <w:kern w:val="0"/>
                <w:sz w:val="21"/>
                <w:szCs w:val="21"/>
              </w:rPr>
              <w:t>具体内容</w:t>
            </w:r>
          </w:p>
        </w:tc>
        <w:tc>
          <w:tcPr>
            <w:tcW w:w="1991" w:type="dxa"/>
            <w:vAlign w:val="center"/>
          </w:tcPr>
          <w:p>
            <w:pPr>
              <w:widowControl/>
              <w:adjustRightInd w:val="0"/>
              <w:snapToGrid w:val="0"/>
              <w:ind w:firstLine="0" w:firstLineChars="0"/>
              <w:jc w:val="center"/>
              <w:textAlignment w:val="center"/>
              <w:rPr>
                <w:rFonts w:ascii="仿宋_GB2312" w:cs="仿宋_GB2312"/>
                <w:b/>
                <w:sz w:val="21"/>
                <w:szCs w:val="21"/>
              </w:rPr>
            </w:pPr>
            <w:r>
              <w:rPr>
                <w:rFonts w:hint="eastAsia" w:ascii="仿宋_GB2312" w:hAnsi="仿宋_GB2312" w:cs="仿宋_GB2312"/>
                <w:b/>
                <w:sz w:val="21"/>
                <w:szCs w:val="21"/>
              </w:rPr>
              <w:t>牵头单位</w:t>
            </w:r>
          </w:p>
        </w:tc>
        <w:tc>
          <w:tcPr>
            <w:tcW w:w="1721" w:type="dxa"/>
            <w:vAlign w:val="center"/>
          </w:tcPr>
          <w:p>
            <w:pPr>
              <w:widowControl/>
              <w:adjustRightInd w:val="0"/>
              <w:snapToGrid w:val="0"/>
              <w:ind w:firstLine="0" w:firstLineChars="0"/>
              <w:jc w:val="center"/>
              <w:textAlignment w:val="center"/>
              <w:rPr>
                <w:rFonts w:ascii="仿宋_GB2312" w:cs="仿宋_GB2312"/>
                <w:b/>
                <w:sz w:val="21"/>
                <w:szCs w:val="21"/>
              </w:rPr>
            </w:pPr>
            <w:r>
              <w:rPr>
                <w:rFonts w:hint="eastAsia" w:ascii="仿宋_GB2312" w:hAnsi="仿宋_GB2312" w:cs="仿宋_GB2312"/>
                <w:b/>
                <w:sz w:val="21"/>
                <w:szCs w:val="21"/>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ascii="仿宋_GB2312" w:hAnsi="仿宋_GB2312" w:cs="仿宋_GB2312"/>
                <w:kern w:val="0"/>
                <w:sz w:val="21"/>
                <w:szCs w:val="21"/>
              </w:rPr>
              <w:t>1</w:t>
            </w:r>
          </w:p>
        </w:tc>
        <w:tc>
          <w:tcPr>
            <w:tcW w:w="629" w:type="dxa"/>
            <w:vMerge w:val="restart"/>
            <w:vAlign w:val="center"/>
          </w:tcPr>
          <w:p>
            <w:pPr>
              <w:widowControl/>
              <w:adjustRightInd w:val="0"/>
              <w:snapToGrid w:val="0"/>
              <w:ind w:firstLine="0" w:firstLineChars="0"/>
              <w:jc w:val="center"/>
              <w:textAlignment w:val="center"/>
              <w:rPr>
                <w:rFonts w:ascii="仿宋_GB2312" w:cs="仿宋_GB2312"/>
                <w:b/>
                <w:bCs/>
                <w:sz w:val="21"/>
                <w:szCs w:val="21"/>
              </w:rPr>
            </w:pPr>
          </w:p>
          <w:p>
            <w:pPr>
              <w:widowControl/>
              <w:adjustRightInd w:val="0"/>
              <w:snapToGrid w:val="0"/>
              <w:ind w:firstLine="0" w:firstLineChars="0"/>
              <w:jc w:val="center"/>
              <w:textAlignment w:val="center"/>
              <w:rPr>
                <w:rFonts w:ascii="仿宋_GB2312" w:cs="仿宋_GB2312"/>
                <w:b/>
                <w:bCs/>
                <w:sz w:val="21"/>
                <w:szCs w:val="21"/>
              </w:rPr>
            </w:pP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b/>
                <w:bCs/>
                <w:sz w:val="21"/>
                <w:szCs w:val="21"/>
              </w:rPr>
              <w:t>推动经济质量效益型发展</w:t>
            </w: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夯实科技创新质量</w:t>
            </w:r>
            <w:r>
              <w:rPr>
                <w:rFonts w:ascii="仿宋_GB2312" w:hAnsi="仿宋_GB2312" w:cs="仿宋_GB2312"/>
                <w:sz w:val="21"/>
                <w:szCs w:val="21"/>
              </w:rPr>
              <w:t xml:space="preserve">  </w:t>
            </w:r>
            <w:r>
              <w:rPr>
                <w:rFonts w:hint="eastAsia" w:ascii="仿宋_GB2312" w:hAnsi="仿宋_GB2312" w:cs="仿宋_GB2312"/>
                <w:sz w:val="21"/>
                <w:szCs w:val="21"/>
              </w:rPr>
              <w:t>支撑</w:t>
            </w:r>
          </w:p>
        </w:tc>
        <w:tc>
          <w:tcPr>
            <w:tcW w:w="8185" w:type="dxa"/>
            <w:vAlign w:val="center"/>
          </w:tcPr>
          <w:p>
            <w:pPr>
              <w:adjustRightInd w:val="0"/>
              <w:snapToGrid w:val="0"/>
              <w:ind w:firstLine="0" w:firstLineChars="0"/>
              <w:jc w:val="left"/>
              <w:rPr>
                <w:rFonts w:ascii="仿宋_GB2312" w:cs="仿宋_GB2312"/>
                <w:kern w:val="0"/>
                <w:sz w:val="21"/>
                <w:szCs w:val="21"/>
              </w:rPr>
            </w:pPr>
            <w:r>
              <w:rPr>
                <w:rFonts w:hint="eastAsia" w:ascii="仿宋_GB2312" w:hAnsi="仿宋_GB2312" w:cs="仿宋_GB2312"/>
                <w:sz w:val="21"/>
                <w:szCs w:val="21"/>
              </w:rPr>
              <w:t>加快建设具有全国影响力的科技创新中心，推进建立政产学研协同深度融合的质量创新体系，助力布局</w:t>
            </w:r>
            <w:r>
              <w:rPr>
                <w:rFonts w:ascii="仿宋_GB2312" w:hAnsi="仿宋_GB2312" w:cs="仿宋_GB2312"/>
                <w:sz w:val="21"/>
                <w:szCs w:val="21"/>
              </w:rPr>
              <w:t>10</w:t>
            </w:r>
            <w:r>
              <w:rPr>
                <w:rFonts w:hint="eastAsia" w:ascii="仿宋_GB2312" w:hAnsi="仿宋_GB2312" w:cs="仿宋_GB2312"/>
                <w:sz w:val="21"/>
                <w:szCs w:val="21"/>
              </w:rPr>
              <w:t>个以上全新体制的国家、省级重点实验室。组建若干产业创新联合体，联合攻克制约产业发展的共性、关键、核心质量技术难题。布局建设中试平台</w:t>
            </w:r>
            <w:r>
              <w:rPr>
                <w:rFonts w:ascii="仿宋_GB2312" w:hAnsi="仿宋_GB2312" w:cs="仿宋_GB2312"/>
                <w:sz w:val="21"/>
                <w:szCs w:val="21"/>
              </w:rPr>
              <w:t>150</w:t>
            </w:r>
            <w:r>
              <w:rPr>
                <w:rFonts w:hint="eastAsia" w:ascii="仿宋_GB2312" w:hAnsi="仿宋_GB2312" w:cs="仿宋_GB2312"/>
                <w:sz w:val="21"/>
                <w:szCs w:val="21"/>
              </w:rPr>
              <w:t>个以上。</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市科技局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p>
            <w:pPr>
              <w:pStyle w:val="10"/>
              <w:adjustRightInd w:val="0"/>
              <w:snapToGrid w:val="0"/>
              <w:ind w:firstLine="0" w:firstLineChars="0"/>
              <w:jc w:val="center"/>
              <w:rPr>
                <w:rFonts w:ascii="仿宋_GB2312" w:cs="仿宋_GB2312"/>
                <w:sz w:val="21"/>
                <w:szCs w:val="21"/>
              </w:rPr>
            </w:pPr>
            <w:r>
              <w:rPr>
                <w:rFonts w:hint="eastAsia" w:ascii="仿宋_GB2312" w:hAnsi="仿宋_GB2312" w:cs="仿宋_GB2312"/>
                <w:sz w:val="21"/>
                <w:szCs w:val="21"/>
              </w:rPr>
              <w:t>市经信局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kern w:val="0"/>
                <w:sz w:val="21"/>
                <w:szCs w:val="21"/>
              </w:rPr>
            </w:pPr>
            <w:r>
              <w:rPr>
                <w:rFonts w:hint="eastAsia" w:ascii="仿宋_GB2312" w:hAnsi="仿宋_GB2312" w:cs="仿宋_GB2312"/>
                <w:sz w:val="21"/>
                <w:szCs w:val="21"/>
              </w:rPr>
              <w:t>高价值专利培育中心项目形成标准研究成果的比率达</w:t>
            </w:r>
            <w:r>
              <w:rPr>
                <w:rFonts w:ascii="仿宋_GB2312" w:hAnsi="仿宋_GB2312" w:cs="仿宋_GB2312"/>
                <w:sz w:val="21"/>
                <w:szCs w:val="21"/>
              </w:rPr>
              <w:t>70</w:t>
            </w:r>
            <w:r>
              <w:rPr>
                <w:rFonts w:hint="eastAsia" w:ascii="仿宋_GB2312" w:hAnsi="仿宋_GB2312" w:cs="仿宋_GB2312"/>
                <w:sz w:val="21"/>
                <w:szCs w:val="21"/>
              </w:rPr>
              <w:t>％以上，高价值专利组合达到</w:t>
            </w:r>
            <w:r>
              <w:rPr>
                <w:rFonts w:ascii="仿宋_GB2312" w:hAnsi="仿宋_GB2312" w:cs="仿宋_GB2312"/>
                <w:sz w:val="21"/>
                <w:szCs w:val="21"/>
              </w:rPr>
              <w:t>20</w:t>
            </w:r>
            <w:r>
              <w:rPr>
                <w:rFonts w:hint="eastAsia" w:ascii="仿宋_GB2312" w:hAnsi="仿宋_GB2312" w:cs="仿宋_GB2312"/>
                <w:sz w:val="21"/>
                <w:szCs w:val="21"/>
              </w:rPr>
              <w:t>个。</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ascii="仿宋_GB2312" w:hAnsi="仿宋_GB2312" w:cs="仿宋_GB2312"/>
                <w:kern w:val="0"/>
                <w:sz w:val="21"/>
                <w:szCs w:val="21"/>
              </w:rPr>
              <w:t>2</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厚植绿色发展质量根基</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完善绿色低碳循环标准体系，开展资源效率对标提升行动，加强用能单位能源计量审查行动，推进钢铁、化工、建材、电力等重点行业清洁生产升级，创建绿色工厂</w:t>
            </w:r>
            <w:r>
              <w:rPr>
                <w:rFonts w:ascii="仿宋_GB2312" w:hAnsi="仿宋_GB2312" w:cs="仿宋_GB2312"/>
                <w:sz w:val="21"/>
                <w:szCs w:val="21"/>
              </w:rPr>
              <w:t>30</w:t>
            </w:r>
            <w:r>
              <w:rPr>
                <w:rFonts w:hint="eastAsia" w:ascii="仿宋_GB2312" w:hAnsi="仿宋_GB2312" w:cs="仿宋_GB2312"/>
                <w:sz w:val="21"/>
                <w:szCs w:val="21"/>
              </w:rPr>
              <w:t>家，通过清洁生产审核验收的工业企业</w:t>
            </w:r>
            <w:r>
              <w:rPr>
                <w:rFonts w:ascii="仿宋_GB2312" w:hAnsi="仿宋_GB2312" w:cs="仿宋_GB2312"/>
                <w:sz w:val="21"/>
                <w:szCs w:val="21"/>
              </w:rPr>
              <w:t>50</w:t>
            </w:r>
            <w:r>
              <w:rPr>
                <w:rFonts w:hint="eastAsia" w:ascii="仿宋_GB2312" w:hAnsi="仿宋_GB2312" w:cs="仿宋_GB2312"/>
                <w:sz w:val="21"/>
                <w:szCs w:val="21"/>
              </w:rPr>
              <w:t>家。</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市生态环境局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市自然资源局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支持青山区创建新能源应用示范区、蔡甸中法武汉生态城创建新能源汽车低碳产业园区。</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市科技局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青山区、蔡甸区人民政府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3</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强化惠民利民质量保障</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开展质量惠民行动，推动实行消费纠纷先行赔付制度。鼓励企业投保产品、工程、服务质量相关保险，落实质量保证金制度。</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市商务局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市城乡建设局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市地方金融局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培育放心消费示范企业、示范商圈、示范餐饮、示范景区，打造以“两江四岸”为核心的放心消费地标。每年建设改造</w:t>
            </w:r>
            <w:r>
              <w:rPr>
                <w:rFonts w:ascii="仿宋_GB2312" w:hAnsi="仿宋_GB2312" w:cs="仿宋_GB2312"/>
                <w:sz w:val="21"/>
                <w:szCs w:val="21"/>
              </w:rPr>
              <w:t>25</w:t>
            </w:r>
            <w:r>
              <w:rPr>
                <w:rFonts w:hint="eastAsia" w:ascii="仿宋_GB2312" w:hAnsi="仿宋_GB2312" w:cs="仿宋_GB2312"/>
                <w:sz w:val="21"/>
                <w:szCs w:val="21"/>
              </w:rPr>
              <w:t>个“一刻钟”便民生活圈，便民生活圈居民满意度达到</w:t>
            </w:r>
            <w:r>
              <w:rPr>
                <w:rFonts w:ascii="仿宋_GB2312" w:hAnsi="仿宋_GB2312" w:cs="仿宋_GB2312"/>
                <w:sz w:val="21"/>
                <w:szCs w:val="21"/>
              </w:rPr>
              <w:t>90%</w:t>
            </w:r>
            <w:r>
              <w:rPr>
                <w:rFonts w:hint="eastAsia" w:ascii="仿宋_GB2312" w:hAnsi="仿宋_GB2312" w:cs="仿宋_GB2312"/>
                <w:sz w:val="21"/>
                <w:szCs w:val="21"/>
              </w:rPr>
              <w:t>以上。</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市商务局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市文旅局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jc w:val="center"/>
        </w:trPr>
        <w:tc>
          <w:tcPr>
            <w:tcW w:w="733" w:type="dxa"/>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4</w:t>
            </w:r>
          </w:p>
        </w:tc>
        <w:tc>
          <w:tcPr>
            <w:tcW w:w="629"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b/>
                <w:bCs/>
                <w:sz w:val="21"/>
                <w:szCs w:val="21"/>
              </w:rPr>
              <w:t>构筑产业和区域质量竞争优势</w:t>
            </w:r>
          </w:p>
        </w:tc>
        <w:tc>
          <w:tcPr>
            <w:tcW w:w="1230"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推动产业基础质量突破</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实施“</w:t>
            </w:r>
            <w:r>
              <w:rPr>
                <w:rFonts w:ascii="仿宋_GB2312" w:hAnsi="仿宋_GB2312" w:cs="仿宋_GB2312"/>
                <w:sz w:val="21"/>
                <w:szCs w:val="21"/>
              </w:rPr>
              <w:t>965</w:t>
            </w:r>
            <w:r>
              <w:rPr>
                <w:rFonts w:hint="eastAsia" w:ascii="仿宋_GB2312" w:hAnsi="仿宋_GB2312" w:cs="仿宋_GB2312"/>
                <w:sz w:val="21"/>
                <w:szCs w:val="21"/>
              </w:rPr>
              <w:t>”现代产业基础质量提升工程。开展半导体、航空航天等领域关键战略材料、关键共性技术研发和应用验证，提高材料质量稳定性、一致性和适用性水平。重点发力存储器芯片、三维集成、化合物半导体、硅光芯片等领域，加强关键核心基础零部重大技术突破与原始创新。重点面向基础软件、工业软件、芯片等基础环节打造</w:t>
            </w:r>
            <w:r>
              <w:rPr>
                <w:rFonts w:ascii="仿宋_GB2312" w:hAnsi="仿宋_GB2312" w:cs="仿宋_GB2312"/>
                <w:sz w:val="21"/>
                <w:szCs w:val="21"/>
              </w:rPr>
              <w:t>2-3</w:t>
            </w:r>
            <w:r>
              <w:rPr>
                <w:rFonts w:hint="eastAsia" w:ascii="仿宋_GB2312" w:hAnsi="仿宋_GB2312" w:cs="仿宋_GB2312"/>
                <w:sz w:val="21"/>
                <w:szCs w:val="21"/>
              </w:rPr>
              <w:t>个重点开源项目，推出基于国产技术架构的软件创新产品和解决方案</w:t>
            </w:r>
            <w:r>
              <w:rPr>
                <w:rFonts w:ascii="仿宋_GB2312" w:hAnsi="仿宋_GB2312" w:cs="仿宋_GB2312"/>
                <w:sz w:val="21"/>
                <w:szCs w:val="21"/>
              </w:rPr>
              <w:t>50</w:t>
            </w:r>
            <w:r>
              <w:rPr>
                <w:rFonts w:hint="eastAsia" w:ascii="仿宋_GB2312" w:hAnsi="仿宋_GB2312" w:cs="仿宋_GB2312"/>
                <w:sz w:val="21"/>
                <w:szCs w:val="21"/>
              </w:rPr>
              <w:t>个以上，提升生产制造敏捷性和精益性。</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5</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提升产业质量竞争力</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打造种业全产业生态链，建设武汉中国种都。</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市农业农村局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突破性发展五大优势产业，加快推动优势产业高质量发展。</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p>
            <w:pPr>
              <w:pStyle w:val="10"/>
              <w:ind w:firstLine="31680"/>
            </w:pPr>
            <w:r>
              <w:rPr>
                <w:rFonts w:hint="eastAsia" w:ascii="仿宋_GB2312" w:hAnsi="仿宋_GB2312" w:cs="仿宋_GB2312"/>
                <w:sz w:val="21"/>
                <w:szCs w:val="21"/>
              </w:rPr>
              <w:t>市发改委</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大力发展数字经济，加快建设国家区块链发展先导区、国家人工智能创新应用先导区、国家新一代人工智能创新发展试验区，争创国家“</w:t>
            </w:r>
            <w:r>
              <w:rPr>
                <w:rFonts w:ascii="仿宋_GB2312" w:hAnsi="仿宋_GB2312" w:cs="仿宋_GB2312"/>
                <w:sz w:val="21"/>
                <w:szCs w:val="21"/>
              </w:rPr>
              <w:t>5G+</w:t>
            </w:r>
            <w:r>
              <w:rPr>
                <w:rFonts w:hint="eastAsia" w:ascii="仿宋_GB2312" w:hAnsi="仿宋_GB2312" w:cs="仿宋_GB2312"/>
                <w:sz w:val="21"/>
                <w:szCs w:val="21"/>
              </w:rPr>
              <w:t>工业互联网”融合应用先导区，打造全国数字经济一线城市。</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p>
            <w:pPr>
              <w:widowControl/>
              <w:adjustRightInd w:val="0"/>
              <w:snapToGrid w:val="0"/>
              <w:ind w:firstLine="0" w:firstLineChars="0"/>
              <w:jc w:val="center"/>
              <w:textAlignment w:val="center"/>
              <w:rPr>
                <w:rFonts w:ascii="仿宋_GB2312" w:cs="仿宋_GB2312"/>
                <w:sz w:val="21"/>
                <w:szCs w:val="21"/>
              </w:rPr>
            </w:pP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6</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塑强武汉城市质量品牌</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绘制重点产业链地图和质量问题图谱，开展质量共性技术联合攻关。开展产业集群区域品牌建设，加强先进技术应用、推动质量创新、质量基础设施升级，助力建成涵盖光量子芯片与通信、量子感知、原子量子计算机等产业集群和产业链。</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市科技局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发挥全国质量强市示范城市优势，争创国家质量创新先导区、质量强国标杆城市、湖北省质量强省示范区。</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9"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推动开发区（功能区）重点打造世界级产业集群和创新驱动工业高质量发展的龙头引擎，促进产业质量升级。引导新城区发展特色鲜明的先进制造业，培育形成质量发展比较优势。鼓励跨三环中心城区发展高新技术制造业和生产性服务业，构建制造与服务融合发展业质量生态。推动中心城区增强生产性服务业和都市工业质量竞争力优势。</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7</w:t>
            </w:r>
          </w:p>
        </w:tc>
        <w:tc>
          <w:tcPr>
            <w:tcW w:w="629" w:type="dxa"/>
            <w:vMerge w:val="restart"/>
            <w:vAlign w:val="center"/>
          </w:tcPr>
          <w:p>
            <w:pPr>
              <w:widowControl/>
              <w:adjustRightInd w:val="0"/>
              <w:snapToGrid w:val="0"/>
              <w:ind w:firstLine="0" w:firstLineChars="0"/>
              <w:jc w:val="center"/>
              <w:textAlignment w:val="center"/>
              <w:rPr>
                <w:rFonts w:ascii="仿宋_GB2312" w:cs="仿宋_GB2312"/>
                <w:b/>
                <w:bCs/>
                <w:sz w:val="21"/>
                <w:szCs w:val="21"/>
              </w:rPr>
            </w:pPr>
          </w:p>
          <w:p>
            <w:pPr>
              <w:widowControl/>
              <w:adjustRightInd w:val="0"/>
              <w:snapToGrid w:val="0"/>
              <w:ind w:firstLine="0" w:firstLineChars="0"/>
              <w:jc w:val="center"/>
              <w:textAlignment w:val="center"/>
              <w:rPr>
                <w:rFonts w:ascii="仿宋_GB2312" w:cs="仿宋_GB2312"/>
                <w:b/>
                <w:bCs/>
                <w:sz w:val="21"/>
                <w:szCs w:val="21"/>
              </w:rPr>
            </w:pPr>
          </w:p>
          <w:p>
            <w:pPr>
              <w:widowControl/>
              <w:adjustRightInd w:val="0"/>
              <w:snapToGrid w:val="0"/>
              <w:ind w:firstLine="0" w:firstLineChars="0"/>
              <w:jc w:val="center"/>
              <w:textAlignment w:val="center"/>
              <w:rPr>
                <w:rFonts w:ascii="仿宋_GB2312" w:cs="仿宋_GB2312"/>
                <w:b/>
                <w:bCs/>
                <w:sz w:val="21"/>
                <w:szCs w:val="21"/>
              </w:rPr>
            </w:pPr>
          </w:p>
          <w:p>
            <w:pPr>
              <w:widowControl/>
              <w:adjustRightInd w:val="0"/>
              <w:snapToGrid w:val="0"/>
              <w:ind w:firstLine="0" w:firstLineChars="0"/>
              <w:jc w:val="center"/>
              <w:textAlignment w:val="center"/>
              <w:rPr>
                <w:rFonts w:ascii="仿宋_GB2312" w:cs="仿宋_GB2312"/>
                <w:b/>
                <w:bCs/>
                <w:sz w:val="21"/>
                <w:szCs w:val="21"/>
              </w:rPr>
            </w:pPr>
          </w:p>
          <w:p>
            <w:pPr>
              <w:widowControl/>
              <w:adjustRightInd w:val="0"/>
              <w:snapToGrid w:val="0"/>
              <w:ind w:firstLine="0" w:firstLineChars="0"/>
              <w:jc w:val="center"/>
              <w:textAlignment w:val="center"/>
              <w:rPr>
                <w:rFonts w:ascii="仿宋_GB2312" w:cs="仿宋_GB2312"/>
                <w:b/>
                <w:bCs/>
                <w:sz w:val="21"/>
                <w:szCs w:val="21"/>
              </w:rPr>
            </w:pPr>
            <w:r>
              <w:rPr>
                <w:rFonts w:hint="eastAsia" w:ascii="仿宋_GB2312" w:hAnsi="仿宋_GB2312" w:cs="仿宋_GB2312"/>
                <w:b/>
                <w:bCs/>
                <w:sz w:val="21"/>
                <w:szCs w:val="21"/>
              </w:rPr>
              <w:t>加快产品质量提档升级</w:t>
            </w:r>
          </w:p>
          <w:p>
            <w:pPr>
              <w:pStyle w:val="2"/>
              <w:ind w:firstLine="31680"/>
            </w:pPr>
          </w:p>
          <w:p>
            <w:pPr>
              <w:pStyle w:val="10"/>
              <w:adjustRightInd w:val="0"/>
              <w:snapToGrid w:val="0"/>
              <w:ind w:firstLine="0" w:firstLineChars="0"/>
              <w:jc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提高农产品食品药品质量安全水平</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推行食用农产品承诺达标合格证制度，探索推广“合格证</w:t>
            </w:r>
            <w:r>
              <w:rPr>
                <w:rFonts w:ascii="仿宋_GB2312" w:hAnsi="仿宋_GB2312" w:cs="仿宋_GB2312"/>
                <w:sz w:val="21"/>
                <w:szCs w:val="21"/>
              </w:rPr>
              <w:t>+</w:t>
            </w:r>
            <w:r>
              <w:rPr>
                <w:rFonts w:hint="eastAsia" w:ascii="仿宋_GB2312" w:hAnsi="仿宋_GB2312" w:cs="仿宋_GB2312"/>
                <w:sz w:val="21"/>
                <w:szCs w:val="21"/>
              </w:rPr>
              <w:t>追溯码”管理模式。加强绿色食品、有机农产品、达标合格品和地理标志农产品认证与监管，新增认证“三品一标”产品</w:t>
            </w:r>
            <w:r>
              <w:rPr>
                <w:rFonts w:ascii="仿宋_GB2312" w:hAnsi="仿宋_GB2312" w:cs="仿宋_GB2312"/>
                <w:sz w:val="21"/>
                <w:szCs w:val="21"/>
              </w:rPr>
              <w:t>50</w:t>
            </w:r>
            <w:r>
              <w:rPr>
                <w:rFonts w:hint="eastAsia" w:ascii="仿宋_GB2312" w:hAnsi="仿宋_GB2312" w:cs="仿宋_GB2312"/>
                <w:sz w:val="21"/>
                <w:szCs w:val="21"/>
              </w:rPr>
              <w:t>个。</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市农业农村局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推进食品安全放心工程建设，严格食品生产经营全过程监管，严格落实食品安全“两个责任”和药品、化妆品、医疗器械经营使用质量管理规范。加强对疫苗、特殊药品、中药饮片监管，推进药品技术研发和质量标准升级。</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2"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8</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实施消费品质量提升行动</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提高消费品研发设计与生产质量，促进增品种、提品质、创品牌。加快传统消费品迭代创新，支持家电、家居、服装、家纺、食品等消费品个性化定制、柔性生产。扩大优质新型消费品供给，推行高端品质认证。培育</w:t>
            </w:r>
            <w:r>
              <w:rPr>
                <w:rFonts w:ascii="仿宋_GB2312" w:hAnsi="仿宋_GB2312" w:cs="仿宋_GB2312"/>
                <w:sz w:val="21"/>
                <w:szCs w:val="21"/>
              </w:rPr>
              <w:t>20</w:t>
            </w:r>
            <w:r>
              <w:rPr>
                <w:rFonts w:hint="eastAsia" w:ascii="仿宋_GB2312" w:hAnsi="仿宋_GB2312" w:cs="仿宋_GB2312"/>
                <w:sz w:val="21"/>
                <w:szCs w:val="21"/>
              </w:rPr>
              <w:t>个以上设计精美、制作精细、性能优越、附加值高的高端消费品。</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在重点消费品行业开展质量提升行动。加强质量问题突出、涉及国计民生的重点消费品的质量安全监管。</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7"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9</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促进工业品质量迈向中高端</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重点围绕智能制造、船舶海工、轨道交通、电气能源、应急与节能环保等装备领域，大力发展优质制造，加强应用基础研究和前沿技术研发，强化研发设计、生产制造、售后服务全过程质量控制。推动智能装备、轨道交通装备、船舶与海洋工程、航空航天等复杂产品设计、生产、服务全过程数字孪生，建设虚拟样机。</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支持创新产品推广应用，支持鼓励企业参与首台（套）重大技术装备认定。实施质量可靠性筑基工程和倍增计划，提高整机产品和系统的可靠性正向设计及测试评估等能力，促进品质提升。</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cs="仿宋_GB2312"/>
                <w:kern w:val="0"/>
                <w:sz w:val="21"/>
                <w:szCs w:val="21"/>
              </w:rPr>
              <w:t>10</w:t>
            </w:r>
          </w:p>
        </w:tc>
        <w:tc>
          <w:tcPr>
            <w:tcW w:w="629"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b/>
                <w:bCs/>
                <w:sz w:val="21"/>
                <w:szCs w:val="21"/>
              </w:rPr>
              <w:t>打造绿色安全品质建设工程</w:t>
            </w:r>
          </w:p>
        </w:tc>
        <w:tc>
          <w:tcPr>
            <w:tcW w:w="1230"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夯实工程质量保障</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全面落实各方主体的工程质量责任，强化工程质量终身责任制。实施质量管理标准化示范工程，加强对工程参建各方主体的质量行为和工程实体质量控制的标准化管理。落实质量保修制度，严格落实建设工程质量检测活动监督管理和分户验收制度，推进政府购买第三方服务参与工程质量安全的监督检查。</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市城乡建设局</w:t>
            </w:r>
          </w:p>
          <w:p>
            <w:pPr>
              <w:widowControl/>
              <w:adjustRightInd w:val="0"/>
              <w:snapToGrid w:val="0"/>
              <w:ind w:firstLine="0" w:firstLineChars="0"/>
              <w:jc w:val="center"/>
              <w:textAlignment w:val="center"/>
              <w:rPr>
                <w:rFonts w:ascii="仿宋_GB2312" w:cs="仿宋_GB2312"/>
                <w:sz w:val="21"/>
                <w:szCs w:val="21"/>
              </w:rPr>
            </w:pP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cs="仿宋_GB2312"/>
                <w:kern w:val="0"/>
                <w:sz w:val="21"/>
                <w:szCs w:val="21"/>
              </w:rPr>
              <w:t>11</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提升建筑材料质量水平</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开展重点民生领域建材专项整治，落实建材生产单位和供应单位终身责任。强化建材生产、运输、使用全过程质量管理，严格实施缺陷建材响应处理和质量追溯。实行绿色建材推广应用目录发布制度，支持江夏区创建绿色建材制造低碳产业园区。加强装配式建筑部品部件生产过程质量管控，实施首批预制部件生产驻厂监造制度和综合验收制度。</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市城乡建设局</w:t>
            </w:r>
          </w:p>
          <w:p>
            <w:pPr>
              <w:pStyle w:val="10"/>
              <w:ind w:firstLine="0" w:firstLineChars="0"/>
              <w:jc w:val="cente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市生态环境局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江夏区人民政府</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cs="仿宋_GB2312"/>
                <w:kern w:val="0"/>
                <w:sz w:val="21"/>
                <w:szCs w:val="21"/>
              </w:rPr>
              <w:t>12</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打造武汉品质建设工程</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大力推广建筑信息模型（</w:t>
            </w:r>
            <w:r>
              <w:rPr>
                <w:rFonts w:ascii="仿宋_GB2312" w:hAnsi="仿宋_GB2312" w:cs="仿宋_GB2312"/>
                <w:sz w:val="21"/>
                <w:szCs w:val="21"/>
              </w:rPr>
              <w:t>BIM</w:t>
            </w:r>
            <w:r>
              <w:rPr>
                <w:rFonts w:hint="eastAsia" w:ascii="仿宋_GB2312" w:hAnsi="仿宋_GB2312" w:cs="仿宋_GB2312"/>
                <w:sz w:val="21"/>
                <w:szCs w:val="21"/>
              </w:rPr>
              <w:t>），建立适合</w:t>
            </w:r>
            <w:r>
              <w:rPr>
                <w:rFonts w:ascii="仿宋_GB2312" w:hAnsi="仿宋_GB2312" w:cs="仿宋_GB2312"/>
                <w:sz w:val="21"/>
                <w:szCs w:val="21"/>
              </w:rPr>
              <w:t>BIM</w:t>
            </w:r>
            <w:r>
              <w:rPr>
                <w:rFonts w:hint="eastAsia" w:ascii="仿宋_GB2312" w:hAnsi="仿宋_GB2312" w:cs="仿宋_GB2312"/>
                <w:sz w:val="21"/>
                <w:szCs w:val="21"/>
              </w:rPr>
              <w:t>技术应用的工程管理模式。大力推广超低能耗建筑等可再生能源技术在城市建筑中的应用，实现绿色建筑占新建民用建筑比例达到</w:t>
            </w:r>
            <w:r>
              <w:rPr>
                <w:rFonts w:ascii="仿宋_GB2312" w:hAnsi="仿宋_GB2312" w:cs="仿宋_GB2312"/>
                <w:sz w:val="21"/>
                <w:szCs w:val="21"/>
              </w:rPr>
              <w:t>100%</w:t>
            </w:r>
            <w:r>
              <w:rPr>
                <w:rFonts w:hint="eastAsia" w:ascii="仿宋_GB2312" w:hAnsi="仿宋_GB2312" w:cs="仿宋_GB2312"/>
                <w:sz w:val="21"/>
                <w:szCs w:val="21"/>
              </w:rPr>
              <w:t>。打造省级以上新型建筑工业化示范基地</w:t>
            </w:r>
            <w:r>
              <w:rPr>
                <w:rFonts w:ascii="仿宋_GB2312" w:hAnsi="仿宋_GB2312" w:cs="仿宋_GB2312"/>
                <w:sz w:val="21"/>
                <w:szCs w:val="21"/>
              </w:rPr>
              <w:t>8</w:t>
            </w:r>
            <w:r>
              <w:rPr>
                <w:rFonts w:hint="eastAsia" w:ascii="仿宋_GB2312" w:hAnsi="仿宋_GB2312" w:cs="仿宋_GB2312"/>
                <w:sz w:val="21"/>
                <w:szCs w:val="21"/>
              </w:rPr>
              <w:t>个，省级以上新型建筑工业化和智能建造示范项目</w:t>
            </w:r>
            <w:r>
              <w:rPr>
                <w:rFonts w:ascii="仿宋_GB2312" w:hAnsi="仿宋_GB2312" w:cs="仿宋_GB2312"/>
                <w:sz w:val="21"/>
                <w:szCs w:val="21"/>
              </w:rPr>
              <w:t>30</w:t>
            </w:r>
            <w:r>
              <w:rPr>
                <w:rFonts w:hint="eastAsia" w:ascii="仿宋_GB2312" w:hAnsi="仿宋_GB2312" w:cs="仿宋_GB2312"/>
                <w:sz w:val="21"/>
                <w:szCs w:val="21"/>
              </w:rPr>
              <w:t>个。每年获得国家级工程质量奖项</w:t>
            </w:r>
            <w:r>
              <w:rPr>
                <w:rFonts w:ascii="仿宋_GB2312" w:hAnsi="仿宋_GB2312" w:cs="仿宋_GB2312"/>
                <w:sz w:val="21"/>
                <w:szCs w:val="21"/>
              </w:rPr>
              <w:t>5</w:t>
            </w:r>
            <w:r>
              <w:rPr>
                <w:rFonts w:hint="eastAsia" w:ascii="仿宋_GB2312" w:hAnsi="仿宋_GB2312" w:cs="仿宋_GB2312"/>
                <w:sz w:val="21"/>
                <w:szCs w:val="21"/>
              </w:rPr>
              <w:t>项以上、省级工程质量奖项</w:t>
            </w:r>
            <w:r>
              <w:rPr>
                <w:rFonts w:ascii="仿宋_GB2312" w:hAnsi="仿宋_GB2312" w:cs="仿宋_GB2312"/>
                <w:sz w:val="21"/>
                <w:szCs w:val="21"/>
              </w:rPr>
              <w:t>55</w:t>
            </w:r>
            <w:r>
              <w:rPr>
                <w:rFonts w:hint="eastAsia" w:ascii="仿宋_GB2312" w:hAnsi="仿宋_GB2312" w:cs="仿宋_GB2312"/>
                <w:sz w:val="21"/>
                <w:szCs w:val="21"/>
              </w:rPr>
              <w:t>项以上。</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市城乡建设局</w:t>
            </w:r>
          </w:p>
          <w:p>
            <w:pPr>
              <w:widowControl/>
              <w:adjustRightInd w:val="0"/>
              <w:snapToGrid w:val="0"/>
              <w:ind w:firstLine="0" w:firstLineChars="0"/>
              <w:jc w:val="center"/>
              <w:textAlignment w:val="center"/>
              <w:rPr>
                <w:rFonts w:ascii="仿宋_GB2312" w:cs="仿宋_GB2312"/>
                <w:sz w:val="21"/>
                <w:szCs w:val="21"/>
              </w:rPr>
            </w:pP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cs="仿宋_GB2312"/>
                <w:kern w:val="0"/>
                <w:sz w:val="21"/>
                <w:szCs w:val="21"/>
              </w:rPr>
              <w:t>13</w:t>
            </w:r>
          </w:p>
        </w:tc>
        <w:tc>
          <w:tcPr>
            <w:tcW w:w="629"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b/>
                <w:bCs/>
                <w:sz w:val="21"/>
                <w:szCs w:val="21"/>
              </w:rPr>
              <w:t>推动现代服务扩容提质</w:t>
            </w: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提升生产服务专业化水平</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提升工业设计、检验检测、知识产权、质量咨询等科技服务水平。</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支持汽车金融、消费金融、供应链金融等新业态发展，提高服务实体经济质量升级的精准性和可及性。</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市地方金融局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完善以武汉新港空港综保区（阳逻园区）为核心的港口物流设施，加快建设武鄂空港型国家物流枢纽。加快发展跨境电商、海外仓等外贸新业态。推动汉口北、汉正街等电商直播集聚区建设，培育电商直播基地</w:t>
            </w:r>
            <w:r>
              <w:rPr>
                <w:rFonts w:ascii="仿宋_GB2312" w:hAnsi="仿宋_GB2312" w:cs="仿宋_GB2312"/>
                <w:sz w:val="21"/>
                <w:szCs w:val="21"/>
              </w:rPr>
              <w:t>10</w:t>
            </w:r>
            <w:r>
              <w:rPr>
                <w:rFonts w:hint="eastAsia" w:ascii="仿宋_GB2312" w:hAnsi="仿宋_GB2312" w:cs="仿宋_GB2312"/>
                <w:sz w:val="21"/>
                <w:szCs w:val="21"/>
              </w:rPr>
              <w:t>个以上。</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市交通运输局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新洲区、黄陂区、硚口区人民政府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cs="仿宋_GB2312"/>
                <w:kern w:val="0"/>
                <w:sz w:val="21"/>
                <w:szCs w:val="21"/>
              </w:rPr>
              <w:t>14</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促进生活服务品质升级</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开展生活服务满意度提升行动，推动大众餐饮、家政、物业管理、房屋租赁服务等专业化、规范化发展。</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提升武汉长江夜游品质，打造</w:t>
            </w:r>
            <w:r>
              <w:rPr>
                <w:rFonts w:ascii="仿宋_GB2312" w:hAnsi="仿宋_GB2312" w:cs="仿宋_GB2312"/>
                <w:sz w:val="21"/>
                <w:szCs w:val="21"/>
              </w:rPr>
              <w:t>10</w:t>
            </w:r>
            <w:r>
              <w:rPr>
                <w:rFonts w:hint="eastAsia" w:ascii="仿宋_GB2312" w:hAnsi="仿宋_GB2312" w:cs="仿宋_GB2312"/>
                <w:sz w:val="21"/>
                <w:szCs w:val="21"/>
              </w:rPr>
              <w:t>条知名“夜游江城”线路。</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市文旅局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推进新全民健身示范工程，每年开展全民健身赛事活动</w:t>
            </w:r>
            <w:r>
              <w:rPr>
                <w:rFonts w:ascii="仿宋_GB2312" w:hAnsi="仿宋_GB2312" w:cs="仿宋_GB2312"/>
                <w:sz w:val="21"/>
                <w:szCs w:val="21"/>
              </w:rPr>
              <w:t>1200</w:t>
            </w:r>
            <w:r>
              <w:rPr>
                <w:rFonts w:hint="eastAsia" w:ascii="仿宋_GB2312" w:hAnsi="仿宋_GB2312" w:cs="仿宋_GB2312"/>
                <w:sz w:val="21"/>
                <w:szCs w:val="21"/>
              </w:rPr>
              <w:t>场次以上。</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市体育局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cs="仿宋_GB2312"/>
                <w:kern w:val="0"/>
                <w:sz w:val="21"/>
                <w:szCs w:val="21"/>
              </w:rPr>
              <w:t>15</w:t>
            </w: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提升公共服务质量效率</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大力推进基本公共服务均等化。开展公共服务质量提升专项行动，建立优质服务承诺、认证、标识制度。</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p>
            <w:pPr>
              <w:pStyle w:val="10"/>
              <w:adjustRightInd w:val="0"/>
              <w:snapToGrid w:val="0"/>
              <w:ind w:firstLine="0" w:firstLineChars="0"/>
              <w:jc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推动基本公共教育、职业技术教育等提质扩容。</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市教育局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强化职业技能培训、用工指导等公共就业服务。</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市人社局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利用互联网技术优化医疗服务流程，改善患者就医体验。</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市卫健委</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lang w:val="zh-CN"/>
              </w:rPr>
              <w:t>进一步规范养老金和优化失业保险金的发放领取，提高异地就医报销便捷性。</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市人社局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市医保局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lang w:val="zh-CN"/>
              </w:rPr>
              <w:t>深入开展污染防治行动，切实提高空气、水、土壤等环境质量。</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市生态环境局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lang w:val="zh-CN"/>
              </w:rPr>
              <w:t>推进公共交通零距离换乘，建成区平均路网密度</w:t>
            </w:r>
            <w:r>
              <w:rPr>
                <w:rFonts w:ascii="仿宋_GB2312" w:hAnsi="仿宋_GB2312" w:cs="仿宋_GB2312"/>
                <w:sz w:val="21"/>
                <w:szCs w:val="21"/>
                <w:lang w:val="zh-CN"/>
              </w:rPr>
              <w:t>7</w:t>
            </w:r>
            <w:r>
              <w:rPr>
                <w:rFonts w:hint="eastAsia" w:ascii="仿宋_GB2312" w:hAnsi="仿宋_GB2312" w:cs="仿宋_GB2312"/>
                <w:sz w:val="21"/>
                <w:szCs w:val="21"/>
                <w:lang w:val="zh-CN"/>
              </w:rPr>
              <w:t>公里</w:t>
            </w:r>
            <w:r>
              <w:rPr>
                <w:rFonts w:ascii="仿宋_GB2312" w:hAnsi="仿宋_GB2312" w:cs="仿宋_GB2312"/>
                <w:sz w:val="21"/>
                <w:szCs w:val="21"/>
                <w:lang w:val="zh-CN"/>
              </w:rPr>
              <w:t>/</w:t>
            </w:r>
            <w:r>
              <w:rPr>
                <w:rFonts w:hint="eastAsia" w:ascii="仿宋_GB2312" w:hAnsi="仿宋_GB2312" w:cs="仿宋_GB2312"/>
                <w:sz w:val="21"/>
                <w:szCs w:val="21"/>
                <w:lang w:val="zh-CN"/>
              </w:rPr>
              <w:t>平方公里。</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lang w:val="zh-CN"/>
              </w:rPr>
              <w:t>市交通运输局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lang w:val="zh-CN"/>
              </w:rPr>
              <w:t>围绕建设“平安武汉”，完善社会治安防控体系。</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lang w:val="zh-CN"/>
              </w:rPr>
              <w:t>市公安局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加强公共文化场馆数字化建设。</w:t>
            </w:r>
            <w:r>
              <w:rPr>
                <w:rFonts w:hint="eastAsia" w:ascii="仿宋_GB2312" w:hAnsi="仿宋_GB2312" w:cs="仿宋_GB2312"/>
                <w:sz w:val="21"/>
                <w:szCs w:val="21"/>
                <w:lang w:val="zh-CN"/>
              </w:rPr>
              <w:t>加快“四馆三场两中心”建设，打造“</w:t>
            </w:r>
            <w:r>
              <w:rPr>
                <w:rFonts w:ascii="仿宋_GB2312" w:hAnsi="仿宋_GB2312" w:cs="仿宋_GB2312"/>
                <w:sz w:val="21"/>
                <w:szCs w:val="21"/>
                <w:lang w:val="zh-CN"/>
              </w:rPr>
              <w:t>12</w:t>
            </w:r>
            <w:r>
              <w:rPr>
                <w:rFonts w:hint="eastAsia" w:ascii="仿宋_GB2312" w:hAnsi="仿宋_GB2312" w:cs="仿宋_GB2312"/>
                <w:sz w:val="21"/>
                <w:szCs w:val="21"/>
                <w:lang w:val="zh-CN"/>
              </w:rPr>
              <w:t>分钟文体圈”。</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lang w:val="zh-CN"/>
              </w:rPr>
            </w:pPr>
            <w:r>
              <w:rPr>
                <w:rFonts w:hint="eastAsia" w:ascii="仿宋_GB2312" w:hAnsi="仿宋_GB2312" w:cs="仿宋_GB2312"/>
                <w:sz w:val="21"/>
                <w:szCs w:val="21"/>
                <w:lang w:val="zh-CN"/>
              </w:rPr>
              <w:t>市文旅局、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lang w:val="zh-CN"/>
              </w:rPr>
              <w:t>市体育局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扩大兜底性、基础性、普惠性养老服务覆盖面。</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市民政局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推动政务服务事项集成化办理，推动政务服务“一件事一次办”，持续深化“高效办成一件事”。</w:t>
            </w:r>
          </w:p>
        </w:tc>
        <w:tc>
          <w:tcPr>
            <w:tcW w:w="1991" w:type="dxa"/>
            <w:vAlign w:val="center"/>
          </w:tcPr>
          <w:p>
            <w:pPr>
              <w:widowControl/>
              <w:adjustRightInd w:val="0"/>
              <w:snapToGrid w:val="0"/>
              <w:spacing w:line="260" w:lineRule="exact"/>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市政数局</w:t>
            </w:r>
          </w:p>
          <w:p>
            <w:pPr>
              <w:widowControl/>
              <w:adjustRightInd w:val="0"/>
              <w:snapToGrid w:val="0"/>
              <w:spacing w:line="260" w:lineRule="exact"/>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市公安局</w:t>
            </w:r>
          </w:p>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市民政局</w:t>
            </w:r>
          </w:p>
          <w:p>
            <w:pPr>
              <w:pStyle w:val="10"/>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市人社局</w:t>
            </w:r>
          </w:p>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市自然资源局</w:t>
            </w:r>
          </w:p>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市房管局</w:t>
            </w:r>
          </w:p>
          <w:p>
            <w:pPr>
              <w:pStyle w:val="10"/>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市市场监管局</w:t>
            </w:r>
          </w:p>
          <w:p>
            <w:pPr>
              <w:pStyle w:val="10"/>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市城管执法委</w:t>
            </w:r>
          </w:p>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市城建局</w:t>
            </w:r>
          </w:p>
          <w:p>
            <w:pPr>
              <w:pStyle w:val="10"/>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市公积金中心</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16</w:t>
            </w:r>
          </w:p>
        </w:tc>
        <w:tc>
          <w:tcPr>
            <w:tcW w:w="629" w:type="dxa"/>
            <w:vMerge w:val="restart"/>
            <w:vAlign w:val="center"/>
          </w:tcPr>
          <w:p>
            <w:pPr>
              <w:widowControl/>
              <w:adjustRightInd w:val="0"/>
              <w:snapToGrid w:val="0"/>
              <w:ind w:firstLine="0" w:firstLineChars="0"/>
              <w:jc w:val="center"/>
              <w:textAlignment w:val="center"/>
              <w:rPr>
                <w:rFonts w:ascii="仿宋_GB2312" w:cs="仿宋_GB2312"/>
                <w:b/>
                <w:bCs/>
                <w:sz w:val="21"/>
                <w:szCs w:val="21"/>
              </w:rPr>
            </w:pPr>
            <w:r>
              <w:rPr>
                <w:rFonts w:hint="eastAsia" w:ascii="仿宋_GB2312" w:hAnsi="仿宋_GB2312" w:cs="仿宋_GB2312"/>
                <w:b/>
                <w:bCs/>
                <w:sz w:val="21"/>
                <w:szCs w:val="21"/>
              </w:rPr>
              <w:t>激发企业质量和品牌发展动能</w:t>
            </w: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增强企业质量创新能力</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加强质量技术创新平台建设，推进质量设计、试验检测、可靠性工程等先进质量技术的研发应用。推行“揭榜挂帅”机制，支持龙头企业牵头组建质量技术创新联合体，协同开展产业链供应链质量共性技术攻关。</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市科技局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支持龙头企业技术攻关，争创各级政府质量奖。鼓励支持中小微企业实施技术改造、质量改进、品牌建设</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17</w:t>
            </w: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促进企业质量管理增效</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鼓励企业制定实施以质取胜生产经营战略，推动全员、全要素、全过程、全数据的新型质量管理体系应用。推动企业开展数字化转型升级，关键业务环节全面数字化的企业比例达</w:t>
            </w:r>
            <w:r>
              <w:rPr>
                <w:rFonts w:ascii="仿宋_GB2312" w:hAnsi="仿宋_GB2312" w:cs="仿宋_GB2312"/>
                <w:sz w:val="21"/>
                <w:szCs w:val="21"/>
              </w:rPr>
              <w:t>62%</w:t>
            </w:r>
            <w:r>
              <w:rPr>
                <w:rFonts w:hint="eastAsia" w:ascii="仿宋_GB2312" w:hAnsi="仿宋_GB2312" w:cs="仿宋_GB2312"/>
                <w:sz w:val="21"/>
                <w:szCs w:val="21"/>
              </w:rPr>
              <w:t>，</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市经信局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深入实施中小企业质量提升行动，每年完成</w:t>
            </w:r>
            <w:r>
              <w:rPr>
                <w:rFonts w:ascii="仿宋_GB2312" w:hAnsi="仿宋_GB2312" w:cs="仿宋_GB2312"/>
                <w:sz w:val="21"/>
                <w:szCs w:val="21"/>
              </w:rPr>
              <w:t>200</w:t>
            </w:r>
            <w:r>
              <w:rPr>
                <w:rFonts w:hint="eastAsia" w:ascii="仿宋_GB2312" w:hAnsi="仿宋_GB2312" w:cs="仿宋_GB2312"/>
                <w:sz w:val="21"/>
                <w:szCs w:val="21"/>
              </w:rPr>
              <w:t>家以上中小企业质量提升工程。争取更多产业和企业入选湖北省“万千百”质量提升示范工程。开展产业链质量提升，推动质量一致性管理，鼓励“链主”企业将产业链上中下游企业纳入共同质量管理体系。</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18</w:t>
            </w: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加快培育武汉知名品牌</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加强中华老字号、湖北老字号、武汉老字号区域公用品牌培育，推动老字号数字博物馆建设。</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市商务局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支持企业强化商标品牌资产管理，建立涵盖一二三产业重点“商标品牌名录”并实施动态管理。培育认定“武汉精品”，积极争创“中国精品”“湖北精品”。</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打造“江城百臻”农产品区域公用品牌。</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市农业农村局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做强做优“武汉地铁”“中南设计”等工程品牌。</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市城乡建设局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巩固提升“世界光谷”“汉口北”等特色产业品牌名片。</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建设武汉优质品牌网络陈列馆。支持企业加强品牌保护和维权，开展订单式打假。</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7" w:hRule="atLeast"/>
          <w:jc w:val="center"/>
        </w:trPr>
        <w:tc>
          <w:tcPr>
            <w:tcW w:w="733" w:type="dxa"/>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19</w:t>
            </w:r>
          </w:p>
        </w:tc>
        <w:tc>
          <w:tcPr>
            <w:tcW w:w="629" w:type="dxa"/>
            <w:vMerge w:val="restart"/>
            <w:vAlign w:val="center"/>
          </w:tcPr>
          <w:p>
            <w:pPr>
              <w:widowControl/>
              <w:adjustRightInd w:val="0"/>
              <w:snapToGrid w:val="0"/>
              <w:ind w:firstLine="0" w:firstLineChars="0"/>
              <w:jc w:val="center"/>
              <w:textAlignment w:val="center"/>
              <w:rPr>
                <w:rFonts w:ascii="仿宋_GB2312" w:cs="仿宋_GB2312"/>
                <w:b/>
                <w:bCs/>
                <w:sz w:val="21"/>
                <w:szCs w:val="21"/>
              </w:rPr>
            </w:pPr>
            <w:r>
              <w:rPr>
                <w:rFonts w:hint="eastAsia" w:ascii="仿宋_GB2312" w:hAnsi="仿宋_GB2312" w:cs="仿宋_GB2312"/>
                <w:b/>
                <w:bCs/>
                <w:sz w:val="21"/>
                <w:szCs w:val="21"/>
              </w:rPr>
              <w:t>打造质量基础设施创新应用高地</w:t>
            </w:r>
          </w:p>
        </w:tc>
        <w:tc>
          <w:tcPr>
            <w:tcW w:w="1230"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实施质量基础设施能力提升行动</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完善量传溯源体系，加强数字化、扁平化量值传递溯源技术研究和关键共性技术研究，提升社会公用计量标准能力。实施重要服务标准研制行动，增加个性化、高端化、高品质标准供给，完善新型“武汉标准”体系框架。引入国际、国内先进检验检测机构，加大国家检验检测高技术服务业集聚区（湖北）武汉园区建设力度，打造与我市产业发展和市场需求相适应的武汉检验检测认证发展集团。争创国家级、省级质量标准实验室。加大质量基础设施投入力度。</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市发改委</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市科技局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市财政局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东湖新技术开发区管理委员</w:t>
            </w:r>
            <w:r>
              <w:rPr>
                <w:rFonts w:ascii="仿宋_GB2312" w:hAnsi="仿宋_GB2312" w:cs="仿宋_GB2312"/>
                <w:sz w:val="21"/>
                <w:szCs w:val="21"/>
              </w:rPr>
              <w:t xml:space="preserve"> </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武汉经济技术开发区管理委员会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jc w:val="center"/>
        </w:trPr>
        <w:tc>
          <w:tcPr>
            <w:tcW w:w="733" w:type="dxa"/>
            <w:vAlign w:val="center"/>
          </w:tcPr>
          <w:p>
            <w:pPr>
              <w:widowControl/>
              <w:adjustRightInd w:val="0"/>
              <w:snapToGrid w:val="0"/>
              <w:ind w:firstLine="0" w:firstLineChars="0"/>
              <w:jc w:val="center"/>
              <w:textAlignment w:val="center"/>
              <w:rPr>
                <w:rFonts w:ascii="仿宋_GB2312" w:cs="仿宋_GB2312"/>
                <w:sz w:val="21"/>
                <w:szCs w:val="21"/>
              </w:rPr>
            </w:pPr>
            <w:r>
              <w:rPr>
                <w:rFonts w:ascii="仿宋_GB2312" w:hAnsi="仿宋_GB2312" w:cs="仿宋_GB2312"/>
                <w:kern w:val="0"/>
                <w:sz w:val="21"/>
                <w:szCs w:val="21"/>
              </w:rPr>
              <w:t>20</w:t>
            </w: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Align w:val="center"/>
          </w:tcPr>
          <w:p>
            <w:pPr>
              <w:widowControl/>
              <w:adjustRightInd w:val="0"/>
              <w:snapToGrid w:val="0"/>
              <w:ind w:firstLine="0" w:firstLineChars="0"/>
              <w:textAlignment w:val="center"/>
              <w:rPr>
                <w:rFonts w:ascii="仿宋_GB2312" w:cs="仿宋_GB2312"/>
                <w:sz w:val="21"/>
                <w:szCs w:val="21"/>
              </w:rPr>
            </w:pPr>
            <w:r>
              <w:rPr>
                <w:rFonts w:hint="eastAsia" w:ascii="仿宋_GB2312" w:hAnsi="仿宋_GB2312" w:cs="仿宋_GB2312"/>
                <w:sz w:val="21"/>
                <w:szCs w:val="21"/>
              </w:rPr>
              <w:t>提升质量基础设施管理水平</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推动质量基础设施分级分类管理，建设质量基础设施“一站式”线上服务监管平台。深化计量监管制度改革，创新智慧计量监管模式，推动计量机构差异化、专业化发展。强化标准实施与监督，探索标准实施效果评价，提升标准实施整体效益。推进技术机构资源整合，强化检验检测认证机构监管。</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33" w:type="dxa"/>
            <w:vAlign w:val="center"/>
          </w:tcPr>
          <w:p>
            <w:pPr>
              <w:widowControl/>
              <w:adjustRightInd w:val="0"/>
              <w:snapToGrid w:val="0"/>
              <w:ind w:firstLine="0" w:firstLineChars="0"/>
              <w:jc w:val="center"/>
              <w:textAlignment w:val="center"/>
              <w:rPr>
                <w:rFonts w:ascii="仿宋_GB2312" w:cs="仿宋_GB2312"/>
                <w:sz w:val="21"/>
                <w:szCs w:val="21"/>
              </w:rPr>
            </w:pPr>
            <w:r>
              <w:rPr>
                <w:rFonts w:ascii="仿宋_GB2312" w:hAnsi="仿宋_GB2312" w:cs="仿宋_GB2312"/>
                <w:sz w:val="21"/>
                <w:szCs w:val="21"/>
              </w:rPr>
              <w:t>21</w:t>
            </w: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提升质量基础设施服务效能</w:t>
            </w:r>
          </w:p>
        </w:tc>
        <w:tc>
          <w:tcPr>
            <w:tcW w:w="8185" w:type="dxa"/>
            <w:vAlign w:val="center"/>
          </w:tcPr>
          <w:p>
            <w:pPr>
              <w:widowControl/>
              <w:adjustRightInd w:val="0"/>
              <w:snapToGrid w:val="0"/>
              <w:ind w:firstLine="0" w:firstLineChars="0"/>
              <w:jc w:val="left"/>
              <w:textAlignment w:val="center"/>
              <w:rPr>
                <w:rFonts w:ascii="仿宋_GB2312" w:cs="仿宋_GB2312"/>
                <w:sz w:val="21"/>
                <w:szCs w:val="21"/>
              </w:rPr>
            </w:pPr>
            <w:r>
              <w:rPr>
                <w:rFonts w:hint="eastAsia" w:ascii="仿宋_GB2312" w:hAnsi="仿宋_GB2312" w:cs="仿宋_GB2312"/>
                <w:sz w:val="21"/>
                <w:szCs w:val="21"/>
              </w:rPr>
              <w:t>紧密结合武汉市现代产业发展基础和质量基础设施布局，汇聚计量、标准、认证、检验检测、质量管理和知识产权等要素资源，推动数据、仪器、设备等资源开放共享，更好服务市场需求。实施质量基础设施拓展伙伴计划，建设重点产业链“质量接力站”、产业园区及中小微企业“质量赋能站”，建成</w:t>
            </w:r>
            <w:r>
              <w:rPr>
                <w:rFonts w:ascii="仿宋_GB2312" w:hAnsi="仿宋_GB2312" w:cs="仿宋_GB2312"/>
                <w:sz w:val="21"/>
                <w:szCs w:val="21"/>
              </w:rPr>
              <w:t>50</w:t>
            </w:r>
            <w:r>
              <w:rPr>
                <w:rFonts w:hint="eastAsia" w:ascii="仿宋_GB2312" w:hAnsi="仿宋_GB2312" w:cs="仿宋_GB2312"/>
                <w:sz w:val="21"/>
                <w:szCs w:val="21"/>
              </w:rPr>
              <w:t>家质量基础设施“一站式”服务站。探索释放高校、科研院所、高新企业等优质质量资源，创建一批质量基础设施集成服务基地</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jc w:val="center"/>
        </w:trPr>
        <w:tc>
          <w:tcPr>
            <w:tcW w:w="733" w:type="dxa"/>
            <w:vMerge w:val="restart"/>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22</w:t>
            </w:r>
          </w:p>
        </w:tc>
        <w:tc>
          <w:tcPr>
            <w:tcW w:w="629" w:type="dxa"/>
            <w:vMerge w:val="restart"/>
            <w:vAlign w:val="center"/>
          </w:tcPr>
          <w:p>
            <w:pPr>
              <w:widowControl/>
              <w:adjustRightInd w:val="0"/>
              <w:snapToGrid w:val="0"/>
              <w:ind w:firstLine="0" w:firstLineChars="0"/>
              <w:jc w:val="center"/>
              <w:textAlignment w:val="center"/>
              <w:rPr>
                <w:rFonts w:ascii="仿宋_GB2312" w:cs="仿宋_GB2312"/>
                <w:b/>
                <w:bCs/>
                <w:sz w:val="21"/>
                <w:szCs w:val="21"/>
              </w:rPr>
            </w:pPr>
            <w:r>
              <w:rPr>
                <w:rFonts w:hint="eastAsia" w:ascii="仿宋_GB2312" w:hAnsi="仿宋_GB2312" w:cs="仿宋_GB2312"/>
                <w:b/>
                <w:bCs/>
                <w:sz w:val="21"/>
                <w:szCs w:val="21"/>
              </w:rPr>
              <w:t>推进质量治理现代化</w:t>
            </w:r>
          </w:p>
        </w:tc>
        <w:tc>
          <w:tcPr>
            <w:tcW w:w="1230" w:type="dxa"/>
            <w:vMerge w:val="restart"/>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完善质量政策法治体系</w:t>
            </w:r>
          </w:p>
        </w:tc>
        <w:tc>
          <w:tcPr>
            <w:tcW w:w="8185" w:type="dxa"/>
            <w:vAlign w:val="center"/>
          </w:tcPr>
          <w:p>
            <w:pPr>
              <w:adjustRightInd w:val="0"/>
              <w:snapToGrid w:val="0"/>
              <w:ind w:firstLine="0" w:firstLineChars="0"/>
              <w:jc w:val="left"/>
              <w:rPr>
                <w:rFonts w:ascii="仿宋_GB2312" w:cs="仿宋_GB2312"/>
                <w:sz w:val="21"/>
                <w:szCs w:val="21"/>
              </w:rPr>
            </w:pPr>
            <w:r>
              <w:rPr>
                <w:rFonts w:hint="eastAsia" w:ascii="仿宋_GB2312" w:hAnsi="仿宋_GB2312" w:cs="仿宋_GB2312"/>
                <w:sz w:val="21"/>
                <w:szCs w:val="21"/>
              </w:rPr>
              <w:t>大力推行企业首席质量官制度，落实质量分级制度，推广产品和服务标准自我声明机制。</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adjustRightInd w:val="0"/>
              <w:snapToGrid w:val="0"/>
              <w:ind w:firstLine="0" w:firstLineChars="0"/>
              <w:jc w:val="left"/>
              <w:rPr>
                <w:rFonts w:ascii="仿宋_GB2312" w:cs="仿宋_GB2312"/>
                <w:sz w:val="21"/>
                <w:szCs w:val="21"/>
              </w:rPr>
            </w:pPr>
            <w:r>
              <w:rPr>
                <w:rFonts w:hint="eastAsia" w:ascii="仿宋_GB2312" w:hAnsi="仿宋_GB2312" w:cs="仿宋_GB2312"/>
                <w:sz w:val="21"/>
                <w:szCs w:val="21"/>
              </w:rPr>
              <w:t>全面落实企业研发费用税前加计扣除、研发设备加速折旧等普惠性财税政策。</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市税务局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市科技局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市财政局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adjustRightInd w:val="0"/>
              <w:snapToGrid w:val="0"/>
              <w:ind w:firstLine="0" w:firstLineChars="0"/>
              <w:jc w:val="left"/>
              <w:rPr>
                <w:rFonts w:ascii="仿宋_GB2312" w:cs="仿宋_GB2312"/>
                <w:sz w:val="21"/>
                <w:szCs w:val="21"/>
              </w:rPr>
            </w:pPr>
            <w:r>
              <w:rPr>
                <w:rFonts w:hint="eastAsia" w:ascii="仿宋_GB2312" w:hAnsi="仿宋_GB2312" w:cs="仿宋_GB2312"/>
                <w:sz w:val="21"/>
                <w:szCs w:val="21"/>
              </w:rPr>
              <w:t>健全质量统计指标体系。支持市属高校和职业院校加强质量相关学科建设和专业设置。适时启动《武汉市质量发展促进条例》立法。</w:t>
            </w:r>
          </w:p>
        </w:tc>
        <w:tc>
          <w:tcPr>
            <w:tcW w:w="1991" w:type="dxa"/>
            <w:vAlign w:val="center"/>
          </w:tcPr>
          <w:p>
            <w:pPr>
              <w:adjustRightInd w:val="0"/>
              <w:snapToGrid w:val="0"/>
              <w:ind w:firstLine="0" w:firstLineChars="0"/>
              <w:jc w:val="center"/>
              <w:rPr>
                <w:rFonts w:ascii="仿宋_GB2312" w:cs="仿宋_GB2312"/>
                <w:sz w:val="21"/>
                <w:szCs w:val="21"/>
              </w:rPr>
            </w:pPr>
            <w:r>
              <w:rPr>
                <w:rFonts w:hint="eastAsia" w:ascii="仿宋_GB2312" w:hAnsi="仿宋_GB2312" w:cs="仿宋_GB2312"/>
                <w:sz w:val="21"/>
                <w:szCs w:val="21"/>
              </w:rPr>
              <w:t>市市场监管局</w:t>
            </w:r>
          </w:p>
          <w:p>
            <w:pPr>
              <w:pStyle w:val="10"/>
              <w:adjustRightInd w:val="0"/>
              <w:snapToGrid w:val="0"/>
              <w:ind w:firstLine="0" w:firstLineChars="0"/>
              <w:jc w:val="center"/>
              <w:rPr>
                <w:rFonts w:ascii="仿宋_GB2312" w:cs="仿宋_GB2312"/>
                <w:sz w:val="21"/>
                <w:szCs w:val="21"/>
              </w:rPr>
            </w:pPr>
            <w:r>
              <w:rPr>
                <w:rFonts w:hint="eastAsia" w:ascii="仿宋_GB2312" w:hAnsi="仿宋_GB2312" w:cs="仿宋_GB2312"/>
                <w:sz w:val="21"/>
                <w:szCs w:val="21"/>
              </w:rPr>
              <w:t>市教育局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adjustRightInd w:val="0"/>
              <w:snapToGrid w:val="0"/>
              <w:ind w:firstLine="0" w:firstLineChars="0"/>
              <w:jc w:val="left"/>
              <w:rPr>
                <w:rFonts w:ascii="仿宋_GB2312" w:cs="仿宋_GB2312"/>
                <w:sz w:val="21"/>
                <w:szCs w:val="21"/>
              </w:rPr>
            </w:pPr>
            <w:r>
              <w:rPr>
                <w:rFonts w:hint="eastAsia" w:ascii="仿宋_GB2312" w:hAnsi="仿宋_GB2312" w:cs="仿宋_GB2312"/>
                <w:sz w:val="21"/>
                <w:szCs w:val="21"/>
              </w:rPr>
              <w:t>推动跨行业跨区域监管执法合作，加强行政执法和刑事司法有效衔接。</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市司法局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adjustRightInd w:val="0"/>
              <w:snapToGrid w:val="0"/>
              <w:ind w:firstLine="0" w:firstLineChars="0"/>
              <w:jc w:val="left"/>
              <w:rPr>
                <w:rFonts w:ascii="仿宋_GB2312" w:cs="仿宋_GB2312"/>
                <w:sz w:val="21"/>
                <w:szCs w:val="21"/>
              </w:rPr>
            </w:pPr>
            <w:r>
              <w:rPr>
                <w:rFonts w:hint="eastAsia" w:ascii="仿宋_GB2312" w:hAnsi="仿宋_GB2312" w:cs="仿宋_GB2312"/>
                <w:sz w:val="21"/>
                <w:szCs w:val="21"/>
              </w:rPr>
              <w:t>推进社会性质量仲裁检验和质量鉴定。</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武汉仲裁委办</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733" w:type="dxa"/>
            <w:vMerge w:val="continue"/>
            <w:vAlign w:val="center"/>
          </w:tcPr>
          <w:p>
            <w:pPr>
              <w:widowControl/>
              <w:adjustRightInd w:val="0"/>
              <w:snapToGrid w:val="0"/>
              <w:ind w:firstLine="0" w:firstLineChars="0"/>
              <w:jc w:val="center"/>
              <w:textAlignment w:val="center"/>
              <w:rPr>
                <w:rFonts w:ascii="仿宋_GB2312" w:cs="仿宋_GB2312"/>
                <w:kern w:val="0"/>
                <w:sz w:val="21"/>
                <w:szCs w:val="21"/>
              </w:rPr>
            </w:pP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Merge w:val="continue"/>
            <w:vAlign w:val="center"/>
          </w:tcPr>
          <w:p>
            <w:pPr>
              <w:widowControl/>
              <w:adjustRightInd w:val="0"/>
              <w:snapToGrid w:val="0"/>
              <w:ind w:firstLine="0" w:firstLineChars="0"/>
              <w:jc w:val="center"/>
              <w:textAlignment w:val="center"/>
              <w:rPr>
                <w:rFonts w:ascii="仿宋_GB2312" w:cs="仿宋_GB2312"/>
                <w:sz w:val="21"/>
                <w:szCs w:val="21"/>
              </w:rPr>
            </w:pPr>
          </w:p>
        </w:tc>
        <w:tc>
          <w:tcPr>
            <w:tcW w:w="8185" w:type="dxa"/>
            <w:vAlign w:val="center"/>
          </w:tcPr>
          <w:p>
            <w:pPr>
              <w:adjustRightInd w:val="0"/>
              <w:snapToGrid w:val="0"/>
              <w:ind w:firstLine="0" w:firstLineChars="0"/>
              <w:jc w:val="left"/>
              <w:rPr>
                <w:rFonts w:ascii="仿宋_GB2312" w:cs="仿宋_GB2312"/>
                <w:sz w:val="21"/>
                <w:szCs w:val="21"/>
              </w:rPr>
            </w:pPr>
            <w:r>
              <w:rPr>
                <w:rFonts w:hint="eastAsia" w:ascii="仿宋_GB2312" w:hAnsi="仿宋_GB2312" w:cs="仿宋_GB2312"/>
                <w:sz w:val="21"/>
                <w:szCs w:val="21"/>
              </w:rPr>
              <w:t>加强质量法治宣传教育，普及质量法律知识。</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市委宣传部</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733" w:type="dxa"/>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23</w:t>
            </w: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优化质量监管体系</w:t>
            </w:r>
          </w:p>
        </w:tc>
        <w:tc>
          <w:tcPr>
            <w:tcW w:w="8185" w:type="dxa"/>
            <w:vAlign w:val="center"/>
          </w:tcPr>
          <w:p>
            <w:pPr>
              <w:adjustRightInd w:val="0"/>
              <w:snapToGrid w:val="0"/>
              <w:ind w:firstLine="0" w:firstLineChars="0"/>
              <w:jc w:val="left"/>
              <w:rPr>
                <w:rFonts w:ascii="仿宋_GB2312" w:cs="仿宋_GB2312"/>
                <w:sz w:val="21"/>
                <w:szCs w:val="21"/>
              </w:rPr>
            </w:pPr>
            <w:r>
              <w:rPr>
                <w:rFonts w:hint="eastAsia" w:ascii="仿宋_GB2312" w:hAnsi="仿宋_GB2312" w:cs="仿宋_GB2312"/>
                <w:sz w:val="21"/>
                <w:szCs w:val="21"/>
              </w:rPr>
              <w:t>全面推行以“双随机、一公开”监管和“互联网</w:t>
            </w:r>
            <w:r>
              <w:rPr>
                <w:rFonts w:ascii="仿宋_GB2312" w:hAnsi="仿宋_GB2312" w:cs="仿宋_GB2312"/>
                <w:sz w:val="21"/>
                <w:szCs w:val="21"/>
              </w:rPr>
              <w:t>+</w:t>
            </w:r>
            <w:r>
              <w:rPr>
                <w:rFonts w:hint="eastAsia" w:ascii="仿宋_GB2312" w:hAnsi="仿宋_GB2312" w:cs="仿宋_GB2312"/>
                <w:sz w:val="21"/>
                <w:szCs w:val="21"/>
              </w:rPr>
              <w:t>监管”为基本手段、以信用监管为基础、以重点监管为补充的新型监管机制。完善市场准入准营制度，落实国家工业产品生产许可证和强制性认证制度改革要求。完善产品质量监督抽查制度。对涉及安全的重点产品实施全覆盖抽查，强化结果处理。实施缺陷消费品召回制度，落实重大质量事故报告和产品伤害监测制度。加强网络交易市场产品质量监管。探索实施“沙盒监管”制度。</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733" w:type="dxa"/>
            <w:vAlign w:val="center"/>
          </w:tcPr>
          <w:p>
            <w:pPr>
              <w:widowControl/>
              <w:adjustRightInd w:val="0"/>
              <w:snapToGrid w:val="0"/>
              <w:ind w:firstLine="0" w:firstLineChars="0"/>
              <w:jc w:val="center"/>
              <w:textAlignment w:val="center"/>
              <w:rPr>
                <w:rFonts w:ascii="仿宋_GB2312" w:cs="仿宋_GB2312"/>
                <w:kern w:val="0"/>
                <w:sz w:val="21"/>
                <w:szCs w:val="21"/>
              </w:rPr>
            </w:pPr>
            <w:r>
              <w:rPr>
                <w:rFonts w:ascii="仿宋_GB2312" w:hAnsi="仿宋_GB2312" w:cs="仿宋_GB2312"/>
                <w:kern w:val="0"/>
                <w:sz w:val="21"/>
                <w:szCs w:val="21"/>
              </w:rPr>
              <w:t>24</w:t>
            </w:r>
          </w:p>
        </w:tc>
        <w:tc>
          <w:tcPr>
            <w:tcW w:w="629" w:type="dxa"/>
            <w:vMerge w:val="continue"/>
            <w:vAlign w:val="center"/>
          </w:tcPr>
          <w:p>
            <w:pPr>
              <w:widowControl/>
              <w:adjustRightInd w:val="0"/>
              <w:snapToGrid w:val="0"/>
              <w:ind w:firstLine="0" w:firstLineChars="0"/>
              <w:jc w:val="center"/>
              <w:textAlignment w:val="center"/>
              <w:rPr>
                <w:rFonts w:ascii="仿宋_GB2312" w:cs="仿宋_GB2312"/>
                <w:b/>
                <w:bCs/>
                <w:sz w:val="21"/>
                <w:szCs w:val="21"/>
              </w:rPr>
            </w:pPr>
          </w:p>
        </w:tc>
        <w:tc>
          <w:tcPr>
            <w:tcW w:w="1230"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筑牢质量共治体系</w:t>
            </w:r>
          </w:p>
        </w:tc>
        <w:tc>
          <w:tcPr>
            <w:tcW w:w="8185" w:type="dxa"/>
            <w:vAlign w:val="center"/>
          </w:tcPr>
          <w:p>
            <w:pPr>
              <w:adjustRightInd w:val="0"/>
              <w:snapToGrid w:val="0"/>
              <w:ind w:firstLine="0" w:firstLineChars="0"/>
              <w:jc w:val="left"/>
              <w:rPr>
                <w:rFonts w:ascii="仿宋_GB2312" w:cs="仿宋_GB2312"/>
                <w:sz w:val="21"/>
                <w:szCs w:val="21"/>
              </w:rPr>
            </w:pPr>
            <w:r>
              <w:rPr>
                <w:rFonts w:hint="eastAsia" w:ascii="仿宋_GB2312" w:hAnsi="仿宋_GB2312" w:cs="仿宋_GB2312"/>
                <w:sz w:val="21"/>
                <w:szCs w:val="21"/>
              </w:rPr>
              <w:t>健全以法治为基础、政府为主导、社会各方参与的多元治理机制，大力弘扬“卓越源于质量”的武汉城市质量精神。实施青年职业能力提升计划，每年培育</w:t>
            </w:r>
            <w:r>
              <w:rPr>
                <w:rFonts w:ascii="仿宋_GB2312" w:hAnsi="仿宋_GB2312" w:cs="仿宋_GB2312"/>
                <w:sz w:val="21"/>
                <w:szCs w:val="21"/>
              </w:rPr>
              <w:t>100</w:t>
            </w:r>
            <w:r>
              <w:rPr>
                <w:rFonts w:hint="eastAsia" w:ascii="仿宋_GB2312" w:hAnsi="仿宋_GB2312" w:cs="仿宋_GB2312"/>
                <w:sz w:val="21"/>
                <w:szCs w:val="21"/>
              </w:rPr>
              <w:t>个青年质量控制改进小组。引导行业协会、商会等开展标准制修订、品牌建设、质量管理等技术服务。充分发挥新闻媒体作用，落实质量社会监督员制度，引导消费者树立和增强绿色健康安全消费理念。</w:t>
            </w:r>
          </w:p>
        </w:tc>
        <w:tc>
          <w:tcPr>
            <w:tcW w:w="199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市市场监管局</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团市委</w:t>
            </w:r>
          </w:p>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市委宣传部</w:t>
            </w:r>
          </w:p>
        </w:tc>
        <w:tc>
          <w:tcPr>
            <w:tcW w:w="1721" w:type="dxa"/>
            <w:vAlign w:val="center"/>
          </w:tcPr>
          <w:p>
            <w:pPr>
              <w:widowControl/>
              <w:adjustRightInd w:val="0"/>
              <w:snapToGrid w:val="0"/>
              <w:ind w:firstLine="0" w:firstLineChars="0"/>
              <w:jc w:val="center"/>
              <w:textAlignment w:val="center"/>
              <w:rPr>
                <w:rFonts w:ascii="仿宋_GB2312" w:cs="仿宋_GB2312"/>
                <w:sz w:val="21"/>
                <w:szCs w:val="21"/>
              </w:rPr>
            </w:pPr>
            <w:r>
              <w:rPr>
                <w:rFonts w:hint="eastAsia" w:ascii="仿宋_GB2312" w:hAnsi="仿宋_GB2312" w:cs="仿宋_GB2312"/>
                <w:sz w:val="21"/>
                <w:szCs w:val="21"/>
              </w:rPr>
              <w:t>有关区人民政府</w:t>
            </w:r>
          </w:p>
        </w:tc>
      </w:tr>
    </w:tbl>
    <w:p>
      <w:pPr>
        <w:spacing w:line="240" w:lineRule="exact"/>
        <w:ind w:firstLine="0" w:firstLineChars="0"/>
      </w:pPr>
    </w:p>
    <w:p>
      <w:pPr>
        <w:pStyle w:val="10"/>
        <w:ind w:firstLine="31680"/>
        <w:sectPr>
          <w:headerReference r:id="rId3" w:type="default"/>
          <w:footerReference r:id="rId4" w:type="default"/>
          <w:pgSz w:w="16838" w:h="11906" w:orient="landscape"/>
          <w:pgMar w:top="1587" w:right="2098" w:bottom="1474" w:left="1984" w:header="851" w:footer="1701" w:gutter="0"/>
          <w:pgNumType w:fmt="numberInDash"/>
          <w:cols w:space="720" w:num="1"/>
          <w:docGrid w:type="lines" w:linePitch="442" w:charSpace="0"/>
        </w:sectPr>
      </w:pPr>
    </w:p>
    <w:p>
      <w:pPr>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10601030101010101"/>
    <w:charset w:val="86"/>
    <w:family w:val="script"/>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8"/>
                  <w:ind w:firstLine="31680"/>
                  <w:rPr>
                    <w:rFonts w:ascii="Times New Roman" w:hAnsi="Times New Roman"/>
                    <w:sz w:val="21"/>
                    <w:szCs w:val="21"/>
                  </w:rPr>
                </w:pPr>
                <w:r>
                  <w:rPr>
                    <w:rFonts w:ascii="仿宋_GB2312" w:hAnsi="仿宋_GB2312" w:cs="仿宋_GB2312"/>
                    <w:sz w:val="28"/>
                    <w:szCs w:val="28"/>
                  </w:rPr>
                  <w:fldChar w:fldCharType="begin"/>
                </w:r>
                <w:r>
                  <w:rPr>
                    <w:rFonts w:ascii="仿宋_GB2312" w:hAnsi="仿宋_GB2312" w:cs="仿宋_GB2312"/>
                    <w:sz w:val="28"/>
                    <w:szCs w:val="28"/>
                  </w:rPr>
                  <w:instrText xml:space="preserve"> PAGE  \* MERGEFORMAT </w:instrText>
                </w:r>
                <w:r>
                  <w:rPr>
                    <w:rFonts w:ascii="仿宋_GB2312" w:hAnsi="仿宋_GB2312" w:cs="仿宋_GB2312"/>
                    <w:sz w:val="28"/>
                    <w:szCs w:val="28"/>
                  </w:rPr>
                  <w:fldChar w:fldCharType="separate"/>
                </w:r>
                <w:r>
                  <w:rPr>
                    <w:rFonts w:ascii="仿宋_GB2312" w:hAnsi="仿宋_GB2312" w:cs="仿宋_GB2312"/>
                    <w:sz w:val="28"/>
                    <w:szCs w:val="28"/>
                  </w:rPr>
                  <w:t>- 12 -</w:t>
                </w:r>
                <w:r>
                  <w:rPr>
                    <w:rFonts w:ascii="仿宋_GB2312" w:hAnsi="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8938E4"/>
    <w:rsid w:val="00277667"/>
    <w:rsid w:val="00A3681E"/>
    <w:rsid w:val="00B66188"/>
    <w:rsid w:val="00E37ED3"/>
    <w:rsid w:val="00E845C1"/>
    <w:rsid w:val="00F06361"/>
    <w:rsid w:val="098938E4"/>
    <w:rsid w:val="1954355D"/>
    <w:rsid w:val="53F5092E"/>
    <w:rsid w:val="6F0F029D"/>
    <w:rsid w:val="7C3742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17"/>
    <w:qFormat/>
    <w:uiPriority w:val="99"/>
    <w:pPr>
      <w:keepNext/>
      <w:keepLines/>
      <w:outlineLvl w:val="0"/>
    </w:pPr>
    <w:rPr>
      <w:rFonts w:eastAsia="黑体"/>
      <w:b/>
      <w:kern w:val="44"/>
    </w:rPr>
  </w:style>
  <w:style w:type="paragraph" w:styleId="4">
    <w:name w:val="heading 2"/>
    <w:basedOn w:val="1"/>
    <w:next w:val="1"/>
    <w:link w:val="18"/>
    <w:qFormat/>
    <w:uiPriority w:val="99"/>
    <w:pPr>
      <w:keepNext/>
      <w:keepLines/>
      <w:outlineLvl w:val="1"/>
    </w:pPr>
    <w:rPr>
      <w:rFonts w:ascii="Arial" w:hAnsi="Arial" w:eastAsia="方正仿宋简体"/>
      <w:b/>
      <w:sz w:val="30"/>
    </w:rPr>
  </w:style>
  <w:style w:type="paragraph" w:styleId="5">
    <w:name w:val="heading 3"/>
    <w:basedOn w:val="1"/>
    <w:next w:val="1"/>
    <w:link w:val="19"/>
    <w:qFormat/>
    <w:uiPriority w:val="99"/>
    <w:pPr>
      <w:keepNext/>
      <w:keepLines/>
      <w:snapToGrid w:val="0"/>
      <w:outlineLvl w:val="2"/>
    </w:pPr>
    <w:rPr>
      <w:b/>
      <w:bCs/>
      <w:szCs w:val="32"/>
    </w:rPr>
  </w:style>
  <w:style w:type="paragraph" w:styleId="6">
    <w:name w:val="heading 4"/>
    <w:basedOn w:val="1"/>
    <w:next w:val="1"/>
    <w:link w:val="20"/>
    <w:qFormat/>
    <w:uiPriority w:val="99"/>
    <w:pPr>
      <w:spacing w:beforeAutospacing="1" w:afterAutospacing="1"/>
      <w:jc w:val="left"/>
      <w:outlineLvl w:val="3"/>
    </w:pPr>
    <w:rPr>
      <w:rFonts w:ascii="宋体" w:hAnsi="宋体" w:eastAsia="宋体"/>
      <w:b/>
      <w:kern w:val="0"/>
      <w:sz w:val="24"/>
      <w:szCs w:val="24"/>
    </w:rPr>
  </w:style>
  <w:style w:type="character" w:default="1" w:styleId="13">
    <w:name w:val="Default Paragraph Font"/>
    <w:semiHidden/>
    <w:qFormat/>
    <w:uiPriority w:val="99"/>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21"/>
    <w:qFormat/>
    <w:uiPriority w:val="99"/>
    <w:rPr>
      <w:rFonts w:ascii="宋体" w:hAnsi="Courier New" w:cs="Courier New"/>
      <w:szCs w:val="21"/>
    </w:rPr>
  </w:style>
  <w:style w:type="paragraph" w:styleId="7">
    <w:name w:val="Body Text"/>
    <w:basedOn w:val="1"/>
    <w:next w:val="1"/>
    <w:link w:val="22"/>
    <w:qFormat/>
    <w:uiPriority w:val="99"/>
    <w:pPr>
      <w:spacing w:after="120"/>
    </w:pPr>
    <w:rPr>
      <w:rFonts w:eastAsia="宋体"/>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99"/>
  </w:style>
  <w:style w:type="paragraph" w:styleId="11">
    <w:name w:val="footnote text"/>
    <w:basedOn w:val="1"/>
    <w:link w:val="25"/>
    <w:qFormat/>
    <w:uiPriority w:val="99"/>
    <w:pPr>
      <w:snapToGrid w:val="0"/>
      <w:jc w:val="left"/>
    </w:pPr>
    <w:rPr>
      <w:sz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uiPriority w:val="99"/>
    <w:rPr>
      <w:rFonts w:cs="Times New Roman"/>
    </w:rPr>
  </w:style>
  <w:style w:type="character" w:styleId="15">
    <w:name w:val="footnote reference"/>
    <w:basedOn w:val="13"/>
    <w:qFormat/>
    <w:uiPriority w:val="99"/>
    <w:rPr>
      <w:rFonts w:cs="Times New Roman"/>
      <w:vertAlign w:val="superscript"/>
    </w:rPr>
  </w:style>
  <w:style w:type="character" w:customStyle="1" w:styleId="17">
    <w:name w:val="Heading 1 Char"/>
    <w:basedOn w:val="13"/>
    <w:link w:val="3"/>
    <w:qFormat/>
    <w:uiPriority w:val="9"/>
    <w:rPr>
      <w:rFonts w:eastAsia="仿宋_GB2312"/>
      <w:b/>
      <w:bCs/>
      <w:kern w:val="44"/>
      <w:sz w:val="44"/>
      <w:szCs w:val="44"/>
    </w:rPr>
  </w:style>
  <w:style w:type="character" w:customStyle="1" w:styleId="18">
    <w:name w:val="Heading 2 Char"/>
    <w:basedOn w:val="13"/>
    <w:link w:val="4"/>
    <w:semiHidden/>
    <w:qFormat/>
    <w:uiPriority w:val="9"/>
    <w:rPr>
      <w:rFonts w:asciiTheme="majorHAnsi" w:hAnsiTheme="majorHAnsi" w:eastAsiaTheme="majorEastAsia" w:cstheme="majorBidi"/>
      <w:b/>
      <w:bCs/>
      <w:sz w:val="32"/>
      <w:szCs w:val="32"/>
    </w:rPr>
  </w:style>
  <w:style w:type="character" w:customStyle="1" w:styleId="19">
    <w:name w:val="Heading 3 Char"/>
    <w:basedOn w:val="13"/>
    <w:link w:val="5"/>
    <w:semiHidden/>
    <w:qFormat/>
    <w:uiPriority w:val="9"/>
    <w:rPr>
      <w:rFonts w:eastAsia="仿宋_GB2312"/>
      <w:b/>
      <w:bCs/>
      <w:sz w:val="32"/>
      <w:szCs w:val="32"/>
    </w:rPr>
  </w:style>
  <w:style w:type="character" w:customStyle="1" w:styleId="20">
    <w:name w:val="Heading 4 Char"/>
    <w:basedOn w:val="13"/>
    <w:link w:val="6"/>
    <w:semiHidden/>
    <w:qFormat/>
    <w:uiPriority w:val="9"/>
    <w:rPr>
      <w:rFonts w:asciiTheme="majorHAnsi" w:hAnsiTheme="majorHAnsi" w:eastAsiaTheme="majorEastAsia" w:cstheme="majorBidi"/>
      <w:b/>
      <w:bCs/>
      <w:sz w:val="28"/>
      <w:szCs w:val="28"/>
    </w:rPr>
  </w:style>
  <w:style w:type="character" w:customStyle="1" w:styleId="21">
    <w:name w:val="Plain Text Char"/>
    <w:basedOn w:val="13"/>
    <w:link w:val="2"/>
    <w:semiHidden/>
    <w:qFormat/>
    <w:uiPriority w:val="99"/>
    <w:rPr>
      <w:rFonts w:ascii="宋体" w:hAnsi="Courier New" w:cs="Courier New"/>
      <w:szCs w:val="21"/>
    </w:rPr>
  </w:style>
  <w:style w:type="character" w:customStyle="1" w:styleId="22">
    <w:name w:val="Body Text Char"/>
    <w:basedOn w:val="13"/>
    <w:link w:val="7"/>
    <w:semiHidden/>
    <w:qFormat/>
    <w:uiPriority w:val="99"/>
    <w:rPr>
      <w:rFonts w:eastAsia="仿宋_GB2312"/>
      <w:sz w:val="32"/>
    </w:rPr>
  </w:style>
  <w:style w:type="character" w:customStyle="1" w:styleId="23">
    <w:name w:val="Footer Char"/>
    <w:basedOn w:val="13"/>
    <w:link w:val="8"/>
    <w:semiHidden/>
    <w:qFormat/>
    <w:uiPriority w:val="99"/>
    <w:rPr>
      <w:rFonts w:eastAsia="仿宋_GB2312"/>
      <w:sz w:val="18"/>
      <w:szCs w:val="18"/>
    </w:rPr>
  </w:style>
  <w:style w:type="character" w:customStyle="1" w:styleId="24">
    <w:name w:val="Header Char"/>
    <w:basedOn w:val="13"/>
    <w:link w:val="9"/>
    <w:semiHidden/>
    <w:qFormat/>
    <w:uiPriority w:val="99"/>
    <w:rPr>
      <w:rFonts w:eastAsia="仿宋_GB2312"/>
      <w:sz w:val="18"/>
      <w:szCs w:val="18"/>
    </w:rPr>
  </w:style>
  <w:style w:type="character" w:customStyle="1" w:styleId="25">
    <w:name w:val="Footnote Text Char"/>
    <w:basedOn w:val="13"/>
    <w:link w:val="11"/>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2185</Words>
  <Characters>12458</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2023-11-14T04:11:00Z</dcterms:created>
  <dc:creator>admin</dc:creator>
  <cp:lastModifiedBy>陈文</cp:lastModifiedBy>
  <cp:lastPrinted>2024-12-05T08:20:00Z</cp:lastPrinted>
  <dcterms:modified xsi:type="dcterms:W3CDTF">2024-12-10T01:38:51Z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