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仿宋_GB2312" w:hAnsi="仿宋_GB2312" w:eastAsia="仿宋_GB2312" w:cs="仿宋_GB2312"/>
          <w:sz w:val="32"/>
          <w:szCs w:val="32"/>
          <w:lang w:val="en-US" w:eastAsia="zh-CN"/>
        </w:rPr>
      </w:pPr>
      <w:bookmarkStart w:id="0" w:name="_GoBack"/>
      <w:bookmarkEnd w:id="0"/>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4</w:t>
      </w:r>
    </w:p>
    <w:p>
      <w:pPr>
        <w:spacing w:line="579" w:lineRule="exact"/>
        <w:jc w:val="center"/>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spacing w:val="1"/>
          <w:sz w:val="44"/>
          <w:szCs w:val="44"/>
        </w:rPr>
        <w:t>湖北省集中用餐单位食品安全问题</w:t>
      </w:r>
    </w:p>
    <w:p>
      <w:pPr>
        <w:spacing w:line="579" w:lineRule="exact"/>
        <w:jc w:val="center"/>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spacing w:val="1"/>
          <w:sz w:val="44"/>
          <w:szCs w:val="44"/>
        </w:rPr>
        <w:t>专项治理行动统计表</w:t>
      </w:r>
    </w:p>
    <w:p>
      <w:pPr>
        <w:spacing w:line="579" w:lineRule="exact"/>
        <w:jc w:val="center"/>
        <w:rPr>
          <w:rFonts w:hint="eastAsia" w:ascii="方正小标宋_GBK" w:hAnsi="方正小标宋_GBK" w:eastAsia="方正小标宋_GBK" w:cs="方正小标宋_GBK"/>
          <w:sz w:val="44"/>
          <w:szCs w:val="44"/>
        </w:rPr>
      </w:pPr>
    </w:p>
    <w:p>
      <w:pPr>
        <w:spacing w:line="579"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填报单位：(加盖公章)                    填报时间：</w:t>
      </w:r>
    </w:p>
    <w:p>
      <w:pPr>
        <w:spacing w:line="58" w:lineRule="exact"/>
        <w:jc w:val="center"/>
      </w:pPr>
    </w:p>
    <w:tbl>
      <w:tblPr>
        <w:tblStyle w:val="3"/>
        <w:tblW w:w="9313" w:type="dxa"/>
        <w:jc w:val="center"/>
        <w:tblInd w:w="0" w:type="dxa"/>
        <w:tblLayout w:type="fixed"/>
        <w:tblCellMar>
          <w:top w:w="0" w:type="dxa"/>
          <w:left w:w="108" w:type="dxa"/>
          <w:bottom w:w="0" w:type="dxa"/>
          <w:right w:w="108" w:type="dxa"/>
        </w:tblCellMar>
      </w:tblPr>
      <w:tblGrid>
        <w:gridCol w:w="1676"/>
        <w:gridCol w:w="6575"/>
        <w:gridCol w:w="1062"/>
      </w:tblGrid>
      <w:tr>
        <w:tblPrEx>
          <w:tblLayout w:type="fixed"/>
          <w:tblCellMar>
            <w:top w:w="0" w:type="dxa"/>
            <w:left w:w="108" w:type="dxa"/>
            <w:bottom w:w="0" w:type="dxa"/>
            <w:right w:w="108" w:type="dxa"/>
          </w:tblCellMar>
        </w:tblPrEx>
        <w:trPr>
          <w:trHeight w:val="20" w:hRule="atLeast"/>
          <w:jc w:val="center"/>
        </w:trPr>
        <w:tc>
          <w:tcPr>
            <w:tcW w:w="16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hint="eastAsia" w:ascii="方正仿宋_GBK" w:hAnsi="方正黑体_GBK" w:eastAsia="方正仿宋_GBK" w:cs="方正黑体_GBK"/>
                <w:color w:val="000000"/>
                <w:sz w:val="21"/>
                <w:szCs w:val="21"/>
              </w:rPr>
            </w:pPr>
            <w:r>
              <w:rPr>
                <w:rFonts w:hint="eastAsia" w:ascii="方正仿宋_GBK" w:hAnsi="方正黑体_GBK" w:eastAsia="方正仿宋_GBK" w:cs="方正黑体_GBK"/>
                <w:color w:val="000000"/>
                <w:kern w:val="0"/>
                <w:sz w:val="21"/>
                <w:szCs w:val="21"/>
                <w:lang w:bidi="ar"/>
              </w:rPr>
              <w:t>内容</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jc w:val="center"/>
              <w:textAlignment w:val="center"/>
              <w:rPr>
                <w:rFonts w:hint="eastAsia" w:ascii="方正仿宋_GBK" w:hAnsi="方正黑体_GBK" w:eastAsia="方正仿宋_GBK" w:cs="方正黑体_GBK"/>
                <w:color w:val="000000"/>
                <w:sz w:val="21"/>
                <w:szCs w:val="21"/>
              </w:rPr>
            </w:pPr>
            <w:r>
              <w:rPr>
                <w:rFonts w:hint="eastAsia" w:ascii="方正仿宋_GBK" w:hAnsi="方正黑体_GBK" w:eastAsia="方正仿宋_GBK" w:cs="方正黑体_GBK"/>
                <w:color w:val="000000"/>
                <w:kern w:val="0"/>
                <w:sz w:val="21"/>
                <w:szCs w:val="21"/>
                <w:lang w:bidi="ar"/>
              </w:rPr>
              <w:t>具体项目</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hint="eastAsia" w:ascii="方正仿宋_GBK" w:hAnsi="方正黑体_GBK" w:eastAsia="方正仿宋_GBK" w:cs="方正黑体_GBK"/>
                <w:color w:val="000000"/>
                <w:sz w:val="21"/>
                <w:szCs w:val="21"/>
              </w:rPr>
            </w:pPr>
            <w:r>
              <w:rPr>
                <w:rFonts w:hint="eastAsia" w:ascii="方正仿宋_GBK" w:hAnsi="方正黑体_GBK" w:eastAsia="方正仿宋_GBK" w:cs="方正黑体_GBK"/>
                <w:color w:val="000000"/>
                <w:kern w:val="0"/>
                <w:sz w:val="21"/>
                <w:szCs w:val="21"/>
                <w:lang w:bidi="ar"/>
              </w:rPr>
              <w:t>数量</w:t>
            </w: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基础数据</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集中用餐单位食堂(家)</w:t>
            </w:r>
          </w:p>
        </w:tc>
        <w:tc>
          <w:tcPr>
            <w:tcW w:w="1062" w:type="dxa"/>
            <w:tcBorders>
              <w:top w:val="single" w:color="000000" w:sz="4" w:space="0"/>
              <w:left w:val="single" w:color="000000" w:sz="4" w:space="0"/>
              <w:bottom w:val="single" w:color="000000" w:sz="4" w:space="0"/>
              <w:right w:val="single" w:color="000000" w:sz="4" w:space="0"/>
            </w:tcBorders>
            <w:vAlign w:val="top"/>
          </w:tcPr>
          <w:p>
            <w:pPr>
              <w:spacing w:line="340" w:lineRule="exact"/>
              <w:ind w:firstLine="420"/>
              <w:jc w:val="center"/>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top"/>
          </w:tcPr>
          <w:p>
            <w:pPr>
              <w:spacing w:line="340" w:lineRule="exact"/>
              <w:ind w:firstLine="420"/>
              <w:jc w:val="center"/>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集中用餐单位食堂承包经营者（家）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377"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44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441"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457"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落实企业（单位）主体责任</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督促集中用餐单位及其食堂承包经营者开展自查自纠（家）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督促集中用餐单位及其食堂承包经营者建立食品安全管理制度（家）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配备食品安全总监和食品安全员（家）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设置率（%）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严格执行食品安全“日管控、周排查、月调度”制度（家）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执行率（%）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相关从业人员开展食品安全培训考核（家）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培训考核率（%）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监督检查情况</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检查集中用餐单位及其食堂承包经营者（家）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发现问题（家次）</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督促整改问题（个）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退出或更换的承包经营企业（家）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案件查处情况</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责令整改，予以警告（件）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罚款（件）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罚没金额（元）</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“回头看”未整改到位被行政处罚的案件（件）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公布典型案例（个）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发布执法指引、指导案例等细化执法标准措施（个）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加强行业管理</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行业主管部门检查集中用餐单位日常管理（家）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行业主管部门检查集中用餐单位招投标管理（家）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推行“明厨亮灶”（家）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推行“互联网+明厨亮灶”（家）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包保督导情况</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对集中用餐单位包保覆盖率（%）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督导完成率（%）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问题整改率（%）</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建立健全长效机制情况</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专项治理行动工作方案（个）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建立规范集中用餐单位食品安全法规（个）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建立规范集中用餐单位食品安全标准（个）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建立规范集中用餐单位食品安全制度机制（个）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省级相关部门督查（次）</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督促整改问题（个）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推进集中用餐单位食堂参保食品安全责任保险（家）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其中：学校（含托幼机构）（家）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医院（家）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养老院（家）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机关（家）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20"/>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 xml:space="preserve">      其他（家）</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宣传引导情况</w:t>
            </w: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各类报纸版面、广播电视、新媒体平台进行宣传报道（篇次）</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开展重点宣传活动（项）</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制作海报、图解、视频等各类宣传产品（个）</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宣传覆盖人群（人次）</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r>
        <w:tblPrEx>
          <w:tblLayout w:type="fixed"/>
          <w:tblCellMar>
            <w:top w:w="0" w:type="dxa"/>
            <w:left w:w="108" w:type="dxa"/>
            <w:bottom w:w="0" w:type="dxa"/>
            <w:right w:w="108" w:type="dxa"/>
          </w:tblCellMar>
        </w:tblPrEx>
        <w:trPr>
          <w:trHeight w:val="20" w:hRule="atLeast"/>
          <w:jc w:val="center"/>
        </w:trPr>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jc w:val="center"/>
              <w:rPr>
                <w:rFonts w:hint="eastAsia" w:ascii="方正仿宋_GBK" w:hAnsi="方正仿宋_GBK" w:eastAsia="方正仿宋_GBK" w:cs="方正仿宋_GBK"/>
                <w:color w:val="000000"/>
                <w:sz w:val="21"/>
                <w:szCs w:val="21"/>
              </w:rPr>
            </w:pPr>
          </w:p>
        </w:tc>
        <w:tc>
          <w:tcPr>
            <w:tcW w:w="657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宣传报道及产品浏览量（人次）</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420"/>
              <w:rPr>
                <w:rFonts w:hint="eastAsia" w:ascii="方正仿宋_GBK" w:hAnsi="方正仿宋_GBK" w:eastAsia="方正仿宋_GBK" w:cs="方正仿宋_GBK"/>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注：1.于每月25日前将本表报送至</w:t>
      </w:r>
      <w:r>
        <w:rPr>
          <w:rFonts w:hint="eastAsia" w:ascii="方正仿宋_GBK" w:hAnsi="方正仿宋_GBK" w:eastAsia="方正仿宋_GBK" w:cs="方正仿宋_GBK"/>
          <w:sz w:val="21"/>
          <w:szCs w:val="21"/>
          <w:lang w:eastAsia="zh-CN"/>
        </w:rPr>
        <w:t>市</w:t>
      </w:r>
      <w:r>
        <w:rPr>
          <w:rFonts w:hint="eastAsia" w:ascii="方正仿宋_GBK" w:hAnsi="方正仿宋_GBK" w:eastAsia="方正仿宋_GBK" w:cs="方正仿宋_GBK"/>
          <w:sz w:val="21"/>
          <w:szCs w:val="21"/>
        </w:rPr>
        <w:t>食品药品安全办。</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leftChars="0"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填报数据为集中用餐单位食品安全问题专项治理行动开展以来累计数。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A7491"/>
    <w:multiLevelType w:val="singleLevel"/>
    <w:tmpl w:val="B39A7491"/>
    <w:lvl w:ilvl="0" w:tentative="0">
      <w:start w:val="2"/>
      <w:numFmt w:val="decimal"/>
      <w:lvlText w:val="%1."/>
      <w:lvlJc w:val="left"/>
      <w:pPr>
        <w:tabs>
          <w:tab w:val="left" w:pos="312"/>
        </w:tabs>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B300B"/>
    <w:rsid w:val="1C700065"/>
    <w:rsid w:val="52AB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钱骏</cp:lastModifiedBy>
  <dcterms:modified xsi:type="dcterms:W3CDTF">2023-10-08T07:00:23Z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